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836C3D" w:rsidRPr="000322A9" w14:paraId="72DD5CB7" w14:textId="77777777" w:rsidTr="005B4EF3">
        <w:trPr>
          <w:trHeight w:val="844"/>
        </w:trPr>
        <w:tc>
          <w:tcPr>
            <w:tcW w:w="976" w:type="dxa"/>
            <w:tcBorders>
              <w:bottom w:val="single" w:sz="12" w:space="0" w:color="auto"/>
            </w:tcBorders>
          </w:tcPr>
          <w:p w14:paraId="0226AEFA" w14:textId="77777777" w:rsidR="00836C3D" w:rsidRPr="000322A9" w:rsidRDefault="00836C3D" w:rsidP="005B4EF3">
            <w:pPr>
              <w:rPr>
                <w:kern w:val="22"/>
              </w:rPr>
            </w:pPr>
            <w:bookmarkStart w:id="0" w:name="_Toc522023191"/>
            <w:r w:rsidRPr="000322A9">
              <w:rPr>
                <w:noProof/>
                <w:kern w:val="22"/>
              </w:rPr>
              <w:drawing>
                <wp:anchor distT="0" distB="0" distL="114300" distR="114300" simplePos="0" relativeHeight="251659264" behindDoc="0" locked="0" layoutInCell="1" allowOverlap="1" wp14:anchorId="313ADF94" wp14:editId="3A9FF76C">
                  <wp:simplePos x="0" y="0"/>
                  <wp:positionH relativeFrom="column">
                    <wp:posOffset>365</wp:posOffset>
                  </wp:positionH>
                  <wp:positionV relativeFrom="page">
                    <wp:posOffset>-122</wp:posOffset>
                  </wp:positionV>
                  <wp:extent cx="476250" cy="402590"/>
                  <wp:effectExtent l="0" t="0" r="0" b="0"/>
                  <wp:wrapNone/>
                  <wp:docPr id="2" name="Picture 2"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21135E20" w14:textId="02BCC514" w:rsidR="00836C3D" w:rsidRPr="000322A9" w:rsidRDefault="004C4E1F" w:rsidP="005B4EF3">
            <w:pPr>
              <w:rPr>
                <w:kern w:val="22"/>
              </w:rPr>
            </w:pPr>
            <w:r w:rsidRPr="004C4E1F">
              <w:rPr>
                <w:noProof/>
                <w:lang w:val="en-US"/>
              </w:rPr>
              <w:drawing>
                <wp:inline distT="0" distB="0" distL="0" distR="0" wp14:anchorId="1EE13B5A" wp14:editId="41AEB02F">
                  <wp:extent cx="593725" cy="340995"/>
                  <wp:effectExtent l="0" t="0" r="0"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072305"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93725" cy="340995"/>
                          </a:xfrm>
                          <a:prstGeom prst="rect">
                            <a:avLst/>
                          </a:prstGeom>
                          <a:noFill/>
                          <a:ln>
                            <a:noFill/>
                          </a:ln>
                        </pic:spPr>
                      </pic:pic>
                    </a:graphicData>
                  </a:graphic>
                </wp:inline>
              </w:drawing>
            </w:r>
          </w:p>
        </w:tc>
        <w:tc>
          <w:tcPr>
            <w:tcW w:w="4090" w:type="dxa"/>
            <w:tcBorders>
              <w:bottom w:val="single" w:sz="12" w:space="0" w:color="auto"/>
            </w:tcBorders>
          </w:tcPr>
          <w:p w14:paraId="7F0EB908" w14:textId="77777777" w:rsidR="00836C3D" w:rsidRPr="000322A9" w:rsidRDefault="00836C3D" w:rsidP="005B4EF3">
            <w:pPr>
              <w:jc w:val="right"/>
              <w:rPr>
                <w:rFonts w:ascii="Arial" w:hAnsi="Arial" w:cs="Arial"/>
                <w:b/>
                <w:kern w:val="22"/>
                <w:sz w:val="32"/>
                <w:szCs w:val="32"/>
              </w:rPr>
            </w:pPr>
            <w:r w:rsidRPr="000322A9">
              <w:rPr>
                <w:rFonts w:ascii="Arial" w:hAnsi="Arial" w:cs="Arial"/>
                <w:b/>
                <w:kern w:val="22"/>
                <w:sz w:val="32"/>
                <w:szCs w:val="32"/>
              </w:rPr>
              <w:t>CBD</w:t>
            </w:r>
          </w:p>
        </w:tc>
      </w:tr>
    </w:tbl>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17"/>
        <w:gridCol w:w="4090"/>
      </w:tblGrid>
      <w:tr w:rsidR="00D85CEF" w:rsidRPr="000322A9" w14:paraId="5C602C9A" w14:textId="77777777" w:rsidTr="00F00110">
        <w:tc>
          <w:tcPr>
            <w:tcW w:w="6117" w:type="dxa"/>
            <w:tcBorders>
              <w:top w:val="single" w:sz="12" w:space="0" w:color="auto"/>
              <w:bottom w:val="single" w:sz="36" w:space="0" w:color="auto"/>
            </w:tcBorders>
            <w:vAlign w:val="center"/>
          </w:tcPr>
          <w:p w14:paraId="1BA41BCF" w14:textId="17F58672" w:rsidR="00E1232A" w:rsidRPr="000322A9" w:rsidRDefault="00C15BFA" w:rsidP="00F00110">
            <w:pPr>
              <w:rPr>
                <w:color w:val="000000" w:themeColor="text1"/>
                <w:kern w:val="22"/>
                <w:sz w:val="22"/>
                <w:szCs w:val="22"/>
              </w:rPr>
            </w:pPr>
            <w:r>
              <w:rPr>
                <w:bCs/>
                <w:noProof/>
                <w:szCs w:val="22"/>
                <w:lang w:val="en-US"/>
              </w:rPr>
              <w:drawing>
                <wp:inline distT="0" distB="0" distL="0" distR="0" wp14:anchorId="41337312" wp14:editId="6DD24C98">
                  <wp:extent cx="2857500" cy="1076325"/>
                  <wp:effectExtent l="0" t="0" r="0" b="9525"/>
                  <wp:docPr id="1" name="Picture 5"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D_logo_fr-CMYK-black [Conver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01CB9205" w14:textId="77777777" w:rsidR="00E1232A" w:rsidRPr="000322A9" w:rsidRDefault="00E1232A" w:rsidP="00F00110">
            <w:pPr>
              <w:ind w:left="1215"/>
              <w:rPr>
                <w:color w:val="000000" w:themeColor="text1"/>
                <w:kern w:val="22"/>
                <w:sz w:val="22"/>
                <w:szCs w:val="22"/>
              </w:rPr>
            </w:pPr>
            <w:r w:rsidRPr="000322A9">
              <w:rPr>
                <w:color w:val="000000" w:themeColor="text1"/>
                <w:kern w:val="22"/>
                <w:sz w:val="22"/>
                <w:szCs w:val="22"/>
              </w:rPr>
              <w:t>Distr.</w:t>
            </w:r>
          </w:p>
          <w:p w14:paraId="79AD77AB" w14:textId="0950D81F" w:rsidR="00E1232A" w:rsidRPr="000322A9" w:rsidRDefault="00836C3D" w:rsidP="00F00110">
            <w:pPr>
              <w:ind w:left="1215"/>
              <w:rPr>
                <w:color w:val="000000" w:themeColor="text1"/>
                <w:kern w:val="22"/>
                <w:sz w:val="22"/>
                <w:szCs w:val="22"/>
              </w:rPr>
            </w:pPr>
            <w:r w:rsidRPr="000322A9">
              <w:rPr>
                <w:caps/>
                <w:color w:val="000000" w:themeColor="text1"/>
                <w:kern w:val="22"/>
                <w:sz w:val="22"/>
                <w:szCs w:val="22"/>
              </w:rPr>
              <w:t>G</w:t>
            </w:r>
            <w:r w:rsidR="00C15BFA">
              <w:rPr>
                <w:caps/>
                <w:color w:val="000000" w:themeColor="text1"/>
                <w:kern w:val="22"/>
                <w:sz w:val="22"/>
                <w:szCs w:val="22"/>
              </w:rPr>
              <w:t>é</w:t>
            </w:r>
            <w:r w:rsidRPr="000322A9">
              <w:rPr>
                <w:caps/>
                <w:color w:val="000000" w:themeColor="text1"/>
                <w:kern w:val="22"/>
                <w:sz w:val="22"/>
                <w:szCs w:val="22"/>
              </w:rPr>
              <w:t>N</w:t>
            </w:r>
            <w:r w:rsidR="00C15BFA">
              <w:rPr>
                <w:caps/>
                <w:color w:val="000000" w:themeColor="text1"/>
                <w:kern w:val="22"/>
                <w:sz w:val="22"/>
                <w:szCs w:val="22"/>
              </w:rPr>
              <w:t>é</w:t>
            </w:r>
            <w:r w:rsidRPr="000322A9">
              <w:rPr>
                <w:caps/>
                <w:color w:val="000000" w:themeColor="text1"/>
                <w:kern w:val="22"/>
                <w:sz w:val="22"/>
                <w:szCs w:val="22"/>
              </w:rPr>
              <w:t>RAL</w:t>
            </w:r>
            <w:r w:rsidR="00C15BFA">
              <w:rPr>
                <w:caps/>
                <w:color w:val="000000" w:themeColor="text1"/>
                <w:kern w:val="22"/>
                <w:sz w:val="22"/>
                <w:szCs w:val="22"/>
              </w:rPr>
              <w:t>e</w:t>
            </w:r>
          </w:p>
          <w:p w14:paraId="0ED4E19F" w14:textId="77777777" w:rsidR="00E1232A" w:rsidRPr="000322A9" w:rsidRDefault="00E1232A" w:rsidP="00F00110">
            <w:pPr>
              <w:ind w:left="1215"/>
              <w:rPr>
                <w:color w:val="000000" w:themeColor="text1"/>
                <w:kern w:val="22"/>
                <w:sz w:val="22"/>
                <w:szCs w:val="22"/>
              </w:rPr>
            </w:pPr>
          </w:p>
          <w:p w14:paraId="17E05CF7" w14:textId="79F1795D" w:rsidR="00E1232A" w:rsidRPr="006E23F0" w:rsidRDefault="00BB2288" w:rsidP="00F00110">
            <w:pPr>
              <w:ind w:left="1215"/>
              <w:rPr>
                <w:color w:val="000000" w:themeColor="text1"/>
                <w:kern w:val="22"/>
                <w:sz w:val="22"/>
                <w:szCs w:val="22"/>
              </w:rPr>
            </w:pPr>
            <w:sdt>
              <w:sdtPr>
                <w:rPr>
                  <w:color w:val="000000" w:themeColor="text1"/>
                  <w:kern w:val="22"/>
                  <w:szCs w:val="22"/>
                </w:rPr>
                <w:alias w:val="Subject"/>
                <w:tag w:val=""/>
                <w:id w:val="2137136483"/>
                <w:placeholder>
                  <w:docPart w:val="C97CFDC4DB7545F089AB6FE4607922AF"/>
                </w:placeholder>
                <w:dataBinding w:prefixMappings="xmlns:ns0='http://purl.org/dc/elements/1.1/' xmlns:ns1='http://schemas.openxmlformats.org/package/2006/metadata/core-properties' " w:xpath="/ns1:coreProperties[1]/ns0:subject[1]" w:storeItemID="{6C3C8BC8-F283-45AE-878A-BAB7291924A1}"/>
                <w:text/>
              </w:sdtPr>
              <w:sdtEndPr/>
              <w:sdtContent>
                <w:r w:rsidR="00E97DC4" w:rsidRPr="006E23F0">
                  <w:rPr>
                    <w:color w:val="000000" w:themeColor="text1"/>
                    <w:kern w:val="22"/>
                    <w:sz w:val="22"/>
                    <w:szCs w:val="22"/>
                  </w:rPr>
                  <w:t>CBD/</w:t>
                </w:r>
                <w:proofErr w:type="spellStart"/>
                <w:r w:rsidR="00E97DC4" w:rsidRPr="006E23F0">
                  <w:rPr>
                    <w:color w:val="000000" w:themeColor="text1"/>
                    <w:kern w:val="22"/>
                    <w:sz w:val="22"/>
                    <w:szCs w:val="22"/>
                  </w:rPr>
                  <w:t>ExCOP</w:t>
                </w:r>
                <w:proofErr w:type="spellEnd"/>
                <w:r w:rsidR="00E97DC4" w:rsidRPr="006E23F0">
                  <w:rPr>
                    <w:color w:val="000000" w:themeColor="text1"/>
                    <w:kern w:val="22"/>
                    <w:sz w:val="22"/>
                    <w:szCs w:val="22"/>
                  </w:rPr>
                  <w:t>/2/2 CBD/CP/</w:t>
                </w:r>
                <w:proofErr w:type="spellStart"/>
                <w:r w:rsidR="00E97DC4" w:rsidRPr="006E23F0">
                  <w:rPr>
                    <w:color w:val="000000" w:themeColor="text1"/>
                    <w:kern w:val="22"/>
                    <w:sz w:val="22"/>
                    <w:szCs w:val="22"/>
                  </w:rPr>
                  <w:t>ExMOP</w:t>
                </w:r>
                <w:proofErr w:type="spellEnd"/>
                <w:r w:rsidR="00E97DC4" w:rsidRPr="006E23F0">
                  <w:rPr>
                    <w:color w:val="000000" w:themeColor="text1"/>
                    <w:kern w:val="22"/>
                    <w:sz w:val="22"/>
                    <w:szCs w:val="22"/>
                  </w:rPr>
                  <w:t>/1/2 CBD/NP/</w:t>
                </w:r>
                <w:proofErr w:type="spellStart"/>
                <w:r w:rsidR="00E97DC4" w:rsidRPr="006E23F0">
                  <w:rPr>
                    <w:color w:val="000000" w:themeColor="text1"/>
                    <w:kern w:val="22"/>
                    <w:sz w:val="22"/>
                    <w:szCs w:val="22"/>
                  </w:rPr>
                  <w:t>ExMOP</w:t>
                </w:r>
                <w:proofErr w:type="spellEnd"/>
                <w:r w:rsidR="00E97DC4" w:rsidRPr="006E23F0">
                  <w:rPr>
                    <w:color w:val="000000" w:themeColor="text1"/>
                    <w:kern w:val="22"/>
                    <w:sz w:val="22"/>
                    <w:szCs w:val="22"/>
                  </w:rPr>
                  <w:t>/1/2</w:t>
                </w:r>
              </w:sdtContent>
            </w:sdt>
          </w:p>
          <w:p w14:paraId="155B3F28" w14:textId="30458789" w:rsidR="00E1232A" w:rsidRPr="0069312E" w:rsidRDefault="00030DEB" w:rsidP="00F00110">
            <w:pPr>
              <w:ind w:left="1215"/>
              <w:rPr>
                <w:color w:val="000000" w:themeColor="text1"/>
                <w:kern w:val="22"/>
                <w:sz w:val="22"/>
                <w:szCs w:val="22"/>
                <w:lang w:val="fr-FR"/>
              </w:rPr>
            </w:pPr>
            <w:r w:rsidRPr="0069312E">
              <w:rPr>
                <w:color w:val="000000" w:themeColor="text1"/>
                <w:kern w:val="22"/>
                <w:sz w:val="22"/>
                <w:szCs w:val="22"/>
                <w:lang w:val="fr-FR"/>
              </w:rPr>
              <w:t xml:space="preserve">7 </w:t>
            </w:r>
            <w:r w:rsidR="00C15BFA" w:rsidRPr="0069312E">
              <w:rPr>
                <w:color w:val="000000" w:themeColor="text1"/>
                <w:kern w:val="22"/>
                <w:sz w:val="22"/>
                <w:szCs w:val="22"/>
                <w:lang w:val="fr-FR"/>
              </w:rPr>
              <w:t xml:space="preserve">septembre </w:t>
            </w:r>
            <w:r w:rsidR="00E1232A" w:rsidRPr="0069312E">
              <w:rPr>
                <w:color w:val="000000" w:themeColor="text1"/>
                <w:kern w:val="22"/>
                <w:sz w:val="22"/>
                <w:szCs w:val="22"/>
                <w:lang w:val="fr-FR"/>
              </w:rPr>
              <w:t>20</w:t>
            </w:r>
            <w:r w:rsidR="00B41A04" w:rsidRPr="0069312E">
              <w:rPr>
                <w:color w:val="000000" w:themeColor="text1"/>
                <w:kern w:val="22"/>
                <w:sz w:val="22"/>
                <w:szCs w:val="22"/>
                <w:lang w:val="fr-FR"/>
              </w:rPr>
              <w:t>20</w:t>
            </w:r>
          </w:p>
          <w:p w14:paraId="6892A9AF" w14:textId="5CC41453" w:rsidR="00E1232A" w:rsidRDefault="00E1232A" w:rsidP="00F00110">
            <w:pPr>
              <w:ind w:left="1215"/>
              <w:rPr>
                <w:color w:val="000000" w:themeColor="text1"/>
                <w:kern w:val="22"/>
                <w:sz w:val="22"/>
                <w:szCs w:val="22"/>
              </w:rPr>
            </w:pPr>
          </w:p>
          <w:p w14:paraId="694C8A05" w14:textId="051F4190" w:rsidR="00C15BFA" w:rsidRPr="000322A9" w:rsidRDefault="00C15BFA" w:rsidP="00F00110">
            <w:pPr>
              <w:ind w:left="1215"/>
              <w:rPr>
                <w:color w:val="000000" w:themeColor="text1"/>
                <w:kern w:val="22"/>
                <w:sz w:val="22"/>
                <w:szCs w:val="22"/>
              </w:rPr>
            </w:pPr>
            <w:r>
              <w:rPr>
                <w:color w:val="000000" w:themeColor="text1"/>
                <w:kern w:val="22"/>
                <w:sz w:val="22"/>
                <w:szCs w:val="22"/>
              </w:rPr>
              <w:t>FRANÇAIS</w:t>
            </w:r>
          </w:p>
          <w:p w14:paraId="43562F44" w14:textId="7B077362" w:rsidR="00E1232A" w:rsidRPr="000322A9" w:rsidRDefault="00E1232A" w:rsidP="000322A9">
            <w:pPr>
              <w:ind w:left="1215"/>
              <w:rPr>
                <w:color w:val="000000" w:themeColor="text1"/>
                <w:kern w:val="22"/>
              </w:rPr>
            </w:pPr>
            <w:r w:rsidRPr="000322A9">
              <w:rPr>
                <w:color w:val="000000" w:themeColor="text1"/>
                <w:kern w:val="22"/>
                <w:sz w:val="22"/>
                <w:szCs w:val="22"/>
              </w:rPr>
              <w:t xml:space="preserve">ORIGINAL: </w:t>
            </w:r>
            <w:r w:rsidR="00C15BFA">
              <w:rPr>
                <w:color w:val="000000" w:themeColor="text1"/>
                <w:kern w:val="22"/>
                <w:sz w:val="22"/>
                <w:szCs w:val="22"/>
              </w:rPr>
              <w:t>ANGLAIS</w:t>
            </w:r>
          </w:p>
        </w:tc>
      </w:tr>
    </w:tbl>
    <w:tbl>
      <w:tblPr>
        <w:tblStyle w:val="ListTable6Colorful"/>
        <w:tblpPr w:leftFromText="180" w:rightFromText="180" w:vertAnchor="text" w:horzAnchor="margin" w:tblpX="-275" w:tblpY="152"/>
        <w:tblW w:w="10170" w:type="dxa"/>
        <w:tblBorders>
          <w:top w:val="none" w:sz="0" w:space="0" w:color="auto"/>
          <w:bottom w:val="none" w:sz="0" w:space="0" w:color="auto"/>
        </w:tblBorders>
        <w:tblLook w:val="04A0" w:firstRow="1" w:lastRow="0" w:firstColumn="1" w:lastColumn="0" w:noHBand="0" w:noVBand="1"/>
      </w:tblPr>
      <w:tblGrid>
        <w:gridCol w:w="3325"/>
        <w:gridCol w:w="3420"/>
        <w:gridCol w:w="3425"/>
      </w:tblGrid>
      <w:tr w:rsidR="00310E11" w:rsidRPr="00487B30" w14:paraId="76D102CB" w14:textId="77777777" w:rsidTr="000322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Borders>
              <w:bottom w:val="none" w:sz="0" w:space="0" w:color="auto"/>
            </w:tcBorders>
          </w:tcPr>
          <w:p w14:paraId="364EEBE6" w14:textId="3BCAA221" w:rsidR="00D454FF" w:rsidRPr="004346C4" w:rsidRDefault="00C15BFA" w:rsidP="005B4EF3">
            <w:pPr>
              <w:pStyle w:val="Heading1"/>
              <w:spacing w:before="0" w:after="0"/>
              <w:ind w:left="181" w:hanging="181"/>
              <w:jc w:val="left"/>
              <w:outlineLvl w:val="0"/>
              <w:rPr>
                <w:color w:val="auto"/>
                <w:kern w:val="22"/>
                <w:sz w:val="22"/>
                <w:szCs w:val="22"/>
                <w:lang w:val="fr-FR"/>
              </w:rPr>
            </w:pPr>
            <w:r w:rsidRPr="004346C4">
              <w:rPr>
                <w:bCs w:val="0"/>
                <w:kern w:val="22"/>
                <w:sz w:val="22"/>
                <w:lang w:val="fr-FR"/>
              </w:rPr>
              <w:t>Conf</w:t>
            </w:r>
            <w:r w:rsidRPr="004346C4">
              <w:rPr>
                <w:bCs w:val="0"/>
                <w:caps w:val="0"/>
                <w:kern w:val="22"/>
                <w:sz w:val="22"/>
                <w:lang w:val="fr-FR"/>
              </w:rPr>
              <w:t>É</w:t>
            </w:r>
            <w:r w:rsidRPr="004346C4">
              <w:rPr>
                <w:bCs w:val="0"/>
                <w:kern w:val="22"/>
                <w:sz w:val="22"/>
                <w:lang w:val="fr-FR"/>
              </w:rPr>
              <w:t xml:space="preserve">rence </w:t>
            </w:r>
            <w:r w:rsidRPr="004346C4">
              <w:rPr>
                <w:bCs w:val="0"/>
                <w:caps w:val="0"/>
                <w:kern w:val="22"/>
                <w:sz w:val="22"/>
                <w:lang w:val="fr-FR"/>
              </w:rPr>
              <w:t>DES PARTIES À LA CONVENTION SUR LA DIVERSITÉ BIOLOGIQUE</w:t>
            </w:r>
          </w:p>
          <w:p w14:paraId="3ECF1D23" w14:textId="77777777" w:rsidR="00D454FF" w:rsidRDefault="00C15BFA" w:rsidP="005B4EF3">
            <w:pPr>
              <w:suppressLineNumbers/>
              <w:suppressAutoHyphens/>
              <w:kinsoku w:val="0"/>
              <w:overflowPunct w:val="0"/>
              <w:autoSpaceDE w:val="0"/>
              <w:autoSpaceDN w:val="0"/>
              <w:ind w:left="179" w:hanging="179"/>
              <w:rPr>
                <w:kern w:val="22"/>
                <w:sz w:val="22"/>
                <w:szCs w:val="22"/>
                <w:lang w:val="fr-FR"/>
              </w:rPr>
            </w:pPr>
            <w:r w:rsidRPr="004346C4">
              <w:rPr>
                <w:b w:val="0"/>
                <w:bCs w:val="0"/>
                <w:kern w:val="22"/>
                <w:sz w:val="22"/>
                <w:szCs w:val="22"/>
                <w:lang w:val="fr-FR"/>
              </w:rPr>
              <w:t>Deuxième réunion extraordinaire</w:t>
            </w:r>
          </w:p>
          <w:p w14:paraId="0CBCB292" w14:textId="1D932F6C" w:rsidR="00567696" w:rsidRPr="004346C4" w:rsidRDefault="00567696" w:rsidP="005B4EF3">
            <w:pPr>
              <w:suppressLineNumbers/>
              <w:suppressAutoHyphens/>
              <w:kinsoku w:val="0"/>
              <w:overflowPunct w:val="0"/>
              <w:autoSpaceDE w:val="0"/>
              <w:autoSpaceDN w:val="0"/>
              <w:ind w:left="179" w:hanging="179"/>
              <w:rPr>
                <w:b w:val="0"/>
                <w:bCs w:val="0"/>
                <w:color w:val="auto"/>
                <w:kern w:val="22"/>
                <w:sz w:val="22"/>
                <w:szCs w:val="22"/>
                <w:lang w:val="fr-FR"/>
              </w:rPr>
            </w:pPr>
            <w:r>
              <w:rPr>
                <w:b w:val="0"/>
                <w:bCs w:val="0"/>
                <w:kern w:val="22"/>
                <w:sz w:val="22"/>
                <w:szCs w:val="22"/>
                <w:lang w:val="fr-FR"/>
              </w:rPr>
              <w:t>Point 4 de l’ordre du jour provisoire</w:t>
            </w:r>
            <w:r w:rsidR="00E15BCA">
              <w:rPr>
                <w:rStyle w:val="FootnoteReference"/>
                <w:b w:val="0"/>
                <w:bCs w:val="0"/>
                <w:color w:val="auto"/>
                <w:kern w:val="22"/>
                <w:sz w:val="22"/>
              </w:rPr>
              <w:footnoteReference w:customMarkFollows="1" w:id="1"/>
              <w:t>*</w:t>
            </w:r>
          </w:p>
        </w:tc>
        <w:tc>
          <w:tcPr>
            <w:tcW w:w="3420" w:type="dxa"/>
            <w:tcBorders>
              <w:bottom w:val="none" w:sz="0" w:space="0" w:color="auto"/>
            </w:tcBorders>
          </w:tcPr>
          <w:p w14:paraId="09233546" w14:textId="0A01E0A2" w:rsidR="00C15BFA" w:rsidRPr="004346C4" w:rsidRDefault="00C15BFA" w:rsidP="00C15BFA">
            <w:pPr>
              <w:keepNext/>
              <w:suppressLineNumbers/>
              <w:tabs>
                <w:tab w:val="left" w:pos="720"/>
              </w:tabs>
              <w:suppressAutoHyphens/>
              <w:outlineLvl w:val="0"/>
              <w:cnfStyle w:val="100000000000" w:firstRow="1" w:lastRow="0" w:firstColumn="0" w:lastColumn="0" w:oddVBand="0" w:evenVBand="0" w:oddHBand="0" w:evenHBand="0" w:firstRowFirstColumn="0" w:firstRowLastColumn="0" w:lastRowFirstColumn="0" w:lastRowLastColumn="0"/>
              <w:rPr>
                <w:caps/>
                <w:kern w:val="22"/>
                <w:sz w:val="22"/>
                <w:lang w:val="fr-FR"/>
              </w:rPr>
            </w:pPr>
            <w:r w:rsidRPr="004346C4">
              <w:rPr>
                <w:b w:val="0"/>
                <w:bCs w:val="0"/>
                <w:caps/>
                <w:kern w:val="22"/>
                <w:sz w:val="22"/>
                <w:lang w:val="fr-FR"/>
              </w:rPr>
              <w:t>CONFÉRENCE DES PARTIES À LA CONVENTION SUR LA DIVERSITÉ BIOLOGIQUE SIÉGEANT EN TANT QUE RÉUNION DES PARTIES AU PROTOCOL</w:t>
            </w:r>
            <w:r w:rsidRPr="00CC2765">
              <w:rPr>
                <w:b w:val="0"/>
                <w:bCs w:val="0"/>
                <w:caps/>
                <w:kern w:val="22"/>
                <w:sz w:val="22"/>
                <w:lang w:val="fr-FR"/>
              </w:rPr>
              <w:t xml:space="preserve">E DE CARTAGENA SUR LA PRÉVENTION DES RISQUES </w:t>
            </w:r>
            <w:r w:rsidR="00BB4D2E" w:rsidRPr="00CC2765">
              <w:rPr>
                <w:b w:val="0"/>
                <w:bCs w:val="0"/>
                <w:caps/>
                <w:kern w:val="22"/>
                <w:sz w:val="22"/>
                <w:lang w:val="fr-FR"/>
              </w:rPr>
              <w:t>biotechnologiques</w:t>
            </w:r>
          </w:p>
          <w:p w14:paraId="2052895D" w14:textId="77777777" w:rsidR="00D454FF" w:rsidRDefault="00C15BFA" w:rsidP="00C15BFA">
            <w:pPr>
              <w:suppressLineNumbers/>
              <w:suppressAutoHyphens/>
              <w:kinsoku w:val="0"/>
              <w:overflowPunct w:val="0"/>
              <w:autoSpaceDE w:val="0"/>
              <w:autoSpaceDN w:val="0"/>
              <w:cnfStyle w:val="100000000000" w:firstRow="1" w:lastRow="0" w:firstColumn="0" w:lastColumn="0" w:oddVBand="0" w:evenVBand="0" w:oddHBand="0" w:evenHBand="0" w:firstRowFirstColumn="0" w:firstRowLastColumn="0" w:lastRowFirstColumn="0" w:lastRowLastColumn="0"/>
              <w:rPr>
                <w:kern w:val="22"/>
                <w:sz w:val="22"/>
                <w:szCs w:val="22"/>
                <w:lang w:val="fr-FR"/>
              </w:rPr>
            </w:pPr>
            <w:r w:rsidRPr="004346C4">
              <w:rPr>
                <w:b w:val="0"/>
                <w:bCs w:val="0"/>
                <w:kern w:val="22"/>
                <w:sz w:val="22"/>
                <w:szCs w:val="22"/>
                <w:lang w:val="fr-FR"/>
              </w:rPr>
              <w:t>Première réunion extraordinaire</w:t>
            </w:r>
          </w:p>
          <w:p w14:paraId="368A9C01" w14:textId="099505CE" w:rsidR="00567696" w:rsidRPr="004346C4" w:rsidRDefault="00567696" w:rsidP="00C15BFA">
            <w:pPr>
              <w:suppressLineNumbers/>
              <w:suppressAutoHyphens/>
              <w:kinsoku w:val="0"/>
              <w:overflowPunct w:val="0"/>
              <w:autoSpaceDE w:val="0"/>
              <w:autoSpaceDN w:val="0"/>
              <w:cnfStyle w:val="100000000000" w:firstRow="1" w:lastRow="0" w:firstColumn="0" w:lastColumn="0" w:oddVBand="0" w:evenVBand="0" w:oddHBand="0" w:evenHBand="0" w:firstRowFirstColumn="0" w:firstRowLastColumn="0" w:lastRowFirstColumn="0" w:lastRowLastColumn="0"/>
              <w:rPr>
                <w:b w:val="0"/>
                <w:bCs w:val="0"/>
                <w:color w:val="auto"/>
                <w:kern w:val="22"/>
                <w:sz w:val="22"/>
                <w:szCs w:val="22"/>
                <w:lang w:val="fr-FR"/>
              </w:rPr>
            </w:pPr>
            <w:r>
              <w:rPr>
                <w:b w:val="0"/>
                <w:bCs w:val="0"/>
                <w:kern w:val="22"/>
                <w:sz w:val="22"/>
                <w:szCs w:val="22"/>
                <w:lang w:val="fr-FR"/>
              </w:rPr>
              <w:t>Point 4 de l’ordre du jour provisoire</w:t>
            </w:r>
            <w:r w:rsidR="00E15BCA">
              <w:rPr>
                <w:rStyle w:val="FootnoteReference"/>
                <w:b w:val="0"/>
                <w:bCs w:val="0"/>
                <w:color w:val="auto"/>
                <w:kern w:val="22"/>
                <w:sz w:val="22"/>
              </w:rPr>
              <w:footnoteReference w:customMarkFollows="1" w:id="2"/>
              <w:t>**</w:t>
            </w:r>
          </w:p>
        </w:tc>
        <w:tc>
          <w:tcPr>
            <w:tcW w:w="3425" w:type="dxa"/>
            <w:tcBorders>
              <w:bottom w:val="none" w:sz="0" w:space="0" w:color="auto"/>
            </w:tcBorders>
          </w:tcPr>
          <w:p w14:paraId="2C01AE6D" w14:textId="2437D46B" w:rsidR="00C15BFA" w:rsidRPr="004346C4" w:rsidRDefault="00C15BFA" w:rsidP="00C15BFA">
            <w:pPr>
              <w:keepNext/>
              <w:suppressLineNumbers/>
              <w:tabs>
                <w:tab w:val="left" w:pos="720"/>
              </w:tabs>
              <w:suppressAutoHyphens/>
              <w:outlineLvl w:val="0"/>
              <w:cnfStyle w:val="100000000000" w:firstRow="1" w:lastRow="0" w:firstColumn="0" w:lastColumn="0" w:oddVBand="0" w:evenVBand="0" w:oddHBand="0" w:evenHBand="0" w:firstRowFirstColumn="0" w:firstRowLastColumn="0" w:lastRowFirstColumn="0" w:lastRowLastColumn="0"/>
              <w:rPr>
                <w:b w:val="0"/>
                <w:bCs w:val="0"/>
                <w:caps/>
                <w:kern w:val="22"/>
                <w:sz w:val="22"/>
                <w:lang w:val="fr-FR"/>
              </w:rPr>
            </w:pPr>
            <w:r w:rsidRPr="004346C4">
              <w:rPr>
                <w:b w:val="0"/>
                <w:bCs w:val="0"/>
                <w:caps/>
                <w:kern w:val="22"/>
                <w:sz w:val="22"/>
                <w:lang w:val="fr-FR"/>
              </w:rPr>
              <w:t xml:space="preserve">CONFÉRENCE DES PARTIES À LA CONVENTION SUR LA DIVERSITÉ BIOLOGIQUE SIÉGEANT EN TANT QUE RÉUNION DES PARTIES AU PROTOCOLE DE NAGOYA SUR L’ACCÈS AUX RESSOURCES GÉNÉTIQUES ET LE PARTAGE JUSTE ET ÉQUITABLE DES AVANTAGES DÉCOULANT DE LEUR UTILISATION </w:t>
            </w:r>
          </w:p>
          <w:p w14:paraId="68B159DB" w14:textId="51AC5B68" w:rsidR="00567696" w:rsidRPr="00567696" w:rsidRDefault="00C15BFA" w:rsidP="00C15BFA">
            <w:pPr>
              <w:suppressLineNumbers/>
              <w:suppressAutoHyphens/>
              <w:kinsoku w:val="0"/>
              <w:overflowPunct w:val="0"/>
              <w:autoSpaceDE w:val="0"/>
              <w:autoSpaceDN w:val="0"/>
              <w:spacing w:after="120"/>
              <w:cnfStyle w:val="100000000000" w:firstRow="1" w:lastRow="0" w:firstColumn="0" w:lastColumn="0" w:oddVBand="0" w:evenVBand="0" w:oddHBand="0" w:evenHBand="0" w:firstRowFirstColumn="0" w:firstRowLastColumn="0" w:lastRowFirstColumn="0" w:lastRowLastColumn="0"/>
              <w:rPr>
                <w:kern w:val="22"/>
                <w:sz w:val="22"/>
                <w:szCs w:val="22"/>
                <w:lang w:val="fr-FR"/>
              </w:rPr>
            </w:pPr>
            <w:r w:rsidRPr="004346C4">
              <w:rPr>
                <w:b w:val="0"/>
                <w:bCs w:val="0"/>
                <w:kern w:val="22"/>
                <w:sz w:val="22"/>
                <w:szCs w:val="22"/>
                <w:lang w:val="fr-FR"/>
              </w:rPr>
              <w:t>Première réunion extraordinaire</w:t>
            </w:r>
            <w:r w:rsidR="00567696">
              <w:rPr>
                <w:b w:val="0"/>
                <w:bCs w:val="0"/>
                <w:kern w:val="22"/>
                <w:sz w:val="22"/>
                <w:szCs w:val="22"/>
                <w:lang w:val="fr-FR"/>
              </w:rPr>
              <w:t xml:space="preserve"> Point 4 de l’ordre du jour provisoire</w:t>
            </w:r>
            <w:r w:rsidR="00E15BCA">
              <w:rPr>
                <w:rStyle w:val="FootnoteReference"/>
                <w:kern w:val="22"/>
                <w:sz w:val="22"/>
              </w:rPr>
              <w:footnoteReference w:customMarkFollows="1" w:id="3"/>
              <w:t>***</w:t>
            </w:r>
          </w:p>
        </w:tc>
      </w:tr>
    </w:tbl>
    <w:p w14:paraId="03687E5E" w14:textId="039C9767" w:rsidR="00CA64DC" w:rsidRDefault="00C15BFA" w:rsidP="00E07E0F">
      <w:pPr>
        <w:keepNext/>
        <w:suppressLineNumbers/>
        <w:suppressAutoHyphens/>
        <w:spacing w:before="100" w:beforeAutospacing="1" w:after="120"/>
        <w:jc w:val="center"/>
        <w:outlineLvl w:val="8"/>
        <w:rPr>
          <w:iCs/>
          <w:kern w:val="22"/>
          <w:szCs w:val="22"/>
          <w:lang w:val="fr-FR" w:eastAsia="ko-KR"/>
        </w:rPr>
      </w:pPr>
      <w:r w:rsidRPr="004346C4">
        <w:rPr>
          <w:iCs/>
          <w:kern w:val="22"/>
          <w:szCs w:val="22"/>
          <w:lang w:val="fr-FR" w:eastAsia="ko-KR"/>
        </w:rPr>
        <w:t>Montréal (</w:t>
      </w:r>
      <w:r w:rsidR="00567696">
        <w:rPr>
          <w:iCs/>
          <w:kern w:val="22"/>
          <w:szCs w:val="22"/>
          <w:lang w:val="fr-FR" w:eastAsia="ko-KR"/>
        </w:rPr>
        <w:t>en</w:t>
      </w:r>
      <w:r w:rsidRPr="004346C4">
        <w:rPr>
          <w:iCs/>
          <w:kern w:val="22"/>
          <w:szCs w:val="22"/>
          <w:lang w:val="fr-FR" w:eastAsia="ko-KR"/>
        </w:rPr>
        <w:t xml:space="preserve"> ligne), 16-19 novembre 2020</w:t>
      </w:r>
    </w:p>
    <w:sdt>
      <w:sdtPr>
        <w:rPr>
          <w:rFonts w:eastAsiaTheme="minorEastAsia"/>
          <w:kern w:val="22"/>
          <w:lang w:val="fr-FR"/>
        </w:rPr>
        <w:alias w:val="Title"/>
        <w:tag w:val=""/>
        <w:id w:val="1859844449"/>
        <w:placeholder>
          <w:docPart w:val="79B703A48DA38946AFC08A04EA46B402"/>
        </w:placeholder>
        <w:dataBinding w:prefixMappings="xmlns:ns0='http://purl.org/dc/elements/1.1/' xmlns:ns1='http://schemas.openxmlformats.org/package/2006/metadata/core-properties' " w:xpath="/ns1:coreProperties[1]/ns0:title[1]" w:storeItemID="{6C3C8BC8-F283-45AE-878A-BAB7291924A1}"/>
        <w:text/>
      </w:sdtPr>
      <w:sdtEndPr/>
      <w:sdtContent>
        <w:p w14:paraId="618BC313" w14:textId="6B88B48A" w:rsidR="00E07E0F" w:rsidRPr="00E07E0F" w:rsidRDefault="00E07E0F" w:rsidP="00084E4F">
          <w:pPr>
            <w:pStyle w:val="HEADING"/>
            <w:ind w:left="720" w:hanging="720"/>
            <w:rPr>
              <w:rFonts w:eastAsiaTheme="minorEastAsia"/>
              <w:kern w:val="22"/>
              <w:lang w:val="fr-FR"/>
            </w:rPr>
          </w:pPr>
          <w:r w:rsidRPr="004346C4">
            <w:rPr>
              <w:rFonts w:eastAsiaTheme="minorEastAsia"/>
              <w:kern w:val="22"/>
              <w:lang w:val="fr-FR"/>
            </w:rPr>
            <w:t>PROPOSITION DE BUDGET INTÉRIMAIRE POUR LE PROGRAMME DE TRAVAIL DE LA CONVENTION SUR LA DIVERSITÉ BIOLOGIQUE, DU PROTOCOLE DE CARTAGENA SUR LA PRÉVENTION DES RISQUES BIOTECHNOLOGIES ET DU PROTOCOLE DE NAGOYA SUR L'ACCÈS ET LE PARTAGE DES AVANTAGES POUR L'ANNÉE 2021</w:t>
          </w:r>
        </w:p>
      </w:sdtContent>
    </w:sdt>
    <w:p w14:paraId="05423338" w14:textId="721A319E" w:rsidR="005D4898" w:rsidRPr="004346C4" w:rsidRDefault="00C15BFA" w:rsidP="00C57754">
      <w:pPr>
        <w:pStyle w:val="NoSpacing"/>
        <w:suppressLineNumbers/>
        <w:suppressAutoHyphens/>
        <w:ind w:left="720" w:hanging="720"/>
        <w:jc w:val="center"/>
        <w:rPr>
          <w:rFonts w:ascii="Times New Roman" w:hAnsi="Times New Roman"/>
          <w:color w:val="000000" w:themeColor="text1"/>
          <w:kern w:val="22"/>
          <w:lang w:val="fr-FR"/>
        </w:rPr>
      </w:pPr>
      <w:r w:rsidRPr="004346C4">
        <w:rPr>
          <w:rFonts w:ascii="Times New Roman" w:eastAsiaTheme="minorEastAsia" w:hAnsi="Times New Roman"/>
          <w:i/>
          <w:iCs/>
          <w:color w:val="000000"/>
          <w:kern w:val="22"/>
          <w:lang w:val="fr-FR"/>
        </w:rPr>
        <w:t>Note de la Secrétaire exécutive</w:t>
      </w:r>
    </w:p>
    <w:p w14:paraId="7F2BFB14" w14:textId="615B5B1D" w:rsidR="0054056A" w:rsidRPr="004346C4" w:rsidRDefault="00B41A04" w:rsidP="000322A9">
      <w:pPr>
        <w:pStyle w:val="Heading1"/>
        <w:rPr>
          <w:rFonts w:eastAsia="Malgun Gothic"/>
          <w:kern w:val="22"/>
          <w:lang w:val="fr-FR"/>
        </w:rPr>
      </w:pPr>
      <w:r w:rsidRPr="004346C4">
        <w:rPr>
          <w:kern w:val="22"/>
          <w:lang w:val="fr-FR"/>
        </w:rPr>
        <w:t>Introduction</w:t>
      </w:r>
      <w:bookmarkEnd w:id="0"/>
    </w:p>
    <w:p w14:paraId="24C42A1D" w14:textId="291F0B6D" w:rsidR="004346C4" w:rsidRPr="00084E4F" w:rsidRDefault="00084E4F" w:rsidP="00084E4F">
      <w:pPr>
        <w:spacing w:before="120" w:after="120"/>
        <w:rPr>
          <w:rFonts w:eastAsia="Malgun Gothic"/>
          <w:iCs/>
          <w:kern w:val="22"/>
          <w:szCs w:val="22"/>
          <w:lang w:val="fr-FR" w:eastAsia="x-none"/>
        </w:rPr>
      </w:pPr>
      <w:r>
        <w:rPr>
          <w:rFonts w:eastAsia="Malgun Gothic"/>
          <w:iCs/>
          <w:kern w:val="22"/>
          <w:szCs w:val="22"/>
          <w:lang w:val="fr-FR" w:eastAsia="x-none"/>
        </w:rPr>
        <w:t xml:space="preserve">1. </w:t>
      </w:r>
      <w:r>
        <w:rPr>
          <w:rFonts w:eastAsia="Malgun Gothic"/>
          <w:iCs/>
          <w:kern w:val="22"/>
          <w:szCs w:val="22"/>
          <w:lang w:val="fr-FR" w:eastAsia="x-none"/>
        </w:rPr>
        <w:tab/>
      </w:r>
      <w:r w:rsidR="004346C4" w:rsidRPr="00084E4F">
        <w:rPr>
          <w:rFonts w:eastAsia="Malgun Gothic"/>
          <w:iCs/>
          <w:kern w:val="22"/>
          <w:szCs w:val="22"/>
          <w:lang w:val="fr-FR" w:eastAsia="x-none"/>
        </w:rPr>
        <w:t xml:space="preserve">Par la décision </w:t>
      </w:r>
      <w:hyperlink r:id="rId14" w:history="1">
        <w:r w:rsidR="004346C4" w:rsidRPr="00B212AD">
          <w:rPr>
            <w:rStyle w:val="Hyperlink"/>
            <w:rFonts w:eastAsia="Malgun Gothic"/>
            <w:iCs/>
            <w:kern w:val="22"/>
            <w:sz w:val="22"/>
            <w:szCs w:val="22"/>
            <w:lang w:val="fr-FR" w:eastAsia="x-none"/>
          </w:rPr>
          <w:t>14/37</w:t>
        </w:r>
      </w:hyperlink>
      <w:r w:rsidR="004346C4" w:rsidRPr="00084E4F">
        <w:rPr>
          <w:rFonts w:eastAsia="Malgun Gothic"/>
          <w:iCs/>
          <w:kern w:val="22"/>
          <w:szCs w:val="22"/>
          <w:lang w:val="fr-FR" w:eastAsia="x-none"/>
        </w:rPr>
        <w:t>, la Conférence des Parties</w:t>
      </w:r>
      <w:r w:rsidR="0020556E" w:rsidRPr="00084E4F">
        <w:rPr>
          <w:rFonts w:eastAsia="Malgun Gothic"/>
          <w:iCs/>
          <w:kern w:val="22"/>
          <w:szCs w:val="22"/>
          <w:lang w:val="fr-FR" w:eastAsia="x-none"/>
        </w:rPr>
        <w:t xml:space="preserve"> </w:t>
      </w:r>
      <w:r w:rsidR="004346C4" w:rsidRPr="00084E4F">
        <w:rPr>
          <w:rFonts w:eastAsia="Malgun Gothic"/>
          <w:iCs/>
          <w:kern w:val="22"/>
          <w:szCs w:val="22"/>
          <w:lang w:val="fr-FR" w:eastAsia="x-none"/>
        </w:rPr>
        <w:t>et les réunions des Parties respectives pour les</w:t>
      </w:r>
      <w:r w:rsidRPr="00084E4F">
        <w:rPr>
          <w:rFonts w:eastAsia="Malgun Gothic"/>
          <w:iCs/>
          <w:kern w:val="22"/>
          <w:szCs w:val="22"/>
          <w:lang w:val="fr-FR" w:eastAsia="x-none"/>
        </w:rPr>
        <w:t xml:space="preserve"> </w:t>
      </w:r>
      <w:r w:rsidR="004346C4" w:rsidRPr="00084E4F">
        <w:rPr>
          <w:rFonts w:eastAsia="Malgun Gothic"/>
          <w:iCs/>
          <w:kern w:val="22"/>
          <w:szCs w:val="22"/>
          <w:lang w:val="fr-FR" w:eastAsia="x-none"/>
        </w:rPr>
        <w:t xml:space="preserve">protocoles, ont approuvé un budget intégré pour l'exercice biennal 2019-2020 et ont demandé </w:t>
      </w:r>
      <w:r w:rsidR="0020556E" w:rsidRPr="00084E4F">
        <w:rPr>
          <w:rFonts w:eastAsia="Malgun Gothic"/>
          <w:iCs/>
          <w:kern w:val="22"/>
          <w:szCs w:val="22"/>
          <w:lang w:val="fr-FR" w:eastAsia="x-none"/>
        </w:rPr>
        <w:t>à la</w:t>
      </w:r>
      <w:r w:rsidR="004346C4" w:rsidRPr="00084E4F">
        <w:rPr>
          <w:rFonts w:eastAsia="Malgun Gothic"/>
          <w:iCs/>
          <w:kern w:val="22"/>
          <w:szCs w:val="22"/>
          <w:lang w:val="fr-FR" w:eastAsia="x-none"/>
        </w:rPr>
        <w:t xml:space="preserve"> Secrétaire exécuti</w:t>
      </w:r>
      <w:r w:rsidR="007B2B92" w:rsidRPr="00084E4F">
        <w:rPr>
          <w:rFonts w:eastAsia="Malgun Gothic"/>
          <w:iCs/>
          <w:kern w:val="22"/>
          <w:szCs w:val="22"/>
          <w:lang w:val="fr-FR" w:eastAsia="x-none"/>
        </w:rPr>
        <w:t>ve</w:t>
      </w:r>
      <w:r w:rsidR="004346C4" w:rsidRPr="00084E4F">
        <w:rPr>
          <w:rFonts w:eastAsia="Malgun Gothic"/>
          <w:iCs/>
          <w:kern w:val="22"/>
          <w:szCs w:val="22"/>
          <w:lang w:val="fr-FR" w:eastAsia="x-none"/>
        </w:rPr>
        <w:t xml:space="preserve"> d'élaborer un programme de travail et un budget intégrés pour la période 2021-2022,</w:t>
      </w:r>
      <w:r w:rsidR="004346C4" w:rsidRPr="00084E4F">
        <w:rPr>
          <w:lang w:val="fr-FR"/>
        </w:rPr>
        <w:t xml:space="preserve"> </w:t>
      </w:r>
      <w:r w:rsidR="004346C4" w:rsidRPr="00084E4F">
        <w:rPr>
          <w:rFonts w:eastAsia="Malgun Gothic"/>
          <w:iCs/>
          <w:kern w:val="22"/>
          <w:szCs w:val="22"/>
          <w:lang w:val="fr-FR" w:eastAsia="x-none"/>
        </w:rPr>
        <w:t xml:space="preserve">qui seront soumis à la Conférence des Parties à sa quinzième réunion, </w:t>
      </w:r>
      <w:r w:rsidR="00567696" w:rsidRPr="00084E4F">
        <w:rPr>
          <w:rFonts w:eastAsia="Malgun Gothic"/>
          <w:iCs/>
          <w:kern w:val="22"/>
          <w:szCs w:val="22"/>
          <w:lang w:val="fr-FR" w:eastAsia="x-none"/>
        </w:rPr>
        <w:t>à</w:t>
      </w:r>
      <w:r w:rsidR="004346C4" w:rsidRPr="00084E4F">
        <w:rPr>
          <w:rFonts w:eastAsia="Malgun Gothic"/>
          <w:iCs/>
          <w:kern w:val="22"/>
          <w:szCs w:val="22"/>
          <w:lang w:val="fr-FR" w:eastAsia="x-none"/>
        </w:rPr>
        <w:t xml:space="preserve"> la dixième réunion des Parties au Protocole de Cartagena et à la quatrième réunion des Parties au Protocole de Nagoya. </w:t>
      </w:r>
      <w:r w:rsidR="00567696" w:rsidRPr="00084E4F">
        <w:rPr>
          <w:rFonts w:eastAsia="Malgun Gothic"/>
          <w:iCs/>
          <w:kern w:val="22"/>
          <w:szCs w:val="22"/>
          <w:lang w:val="fr-FR" w:eastAsia="x-none"/>
        </w:rPr>
        <w:t>Ces réunions devaient se tenir au cours du dernier trimestre de 2020.</w:t>
      </w:r>
    </w:p>
    <w:p w14:paraId="0EC0D309" w14:textId="755844AB" w:rsidR="004346C4" w:rsidRPr="004346C4" w:rsidRDefault="00084E4F" w:rsidP="00084E4F">
      <w:pPr>
        <w:pStyle w:val="ListParagraph"/>
        <w:spacing w:before="120" w:after="120"/>
        <w:ind w:left="0"/>
        <w:contextualSpacing w:val="0"/>
        <w:rPr>
          <w:rFonts w:eastAsia="Malgun Gothic"/>
          <w:iCs/>
          <w:kern w:val="22"/>
          <w:szCs w:val="22"/>
          <w:lang w:val="fr-FR" w:eastAsia="x-none"/>
        </w:rPr>
      </w:pPr>
      <w:r>
        <w:rPr>
          <w:rFonts w:eastAsia="Malgun Gothic"/>
          <w:iCs/>
          <w:kern w:val="22"/>
          <w:szCs w:val="22"/>
          <w:lang w:val="fr-FR" w:eastAsia="x-none"/>
        </w:rPr>
        <w:t xml:space="preserve">2. </w:t>
      </w:r>
      <w:r>
        <w:rPr>
          <w:rFonts w:eastAsia="Malgun Gothic"/>
          <w:iCs/>
          <w:kern w:val="22"/>
          <w:szCs w:val="22"/>
          <w:lang w:val="fr-FR" w:eastAsia="x-none"/>
        </w:rPr>
        <w:tab/>
      </w:r>
      <w:r w:rsidR="004346C4" w:rsidRPr="004346C4">
        <w:rPr>
          <w:rFonts w:eastAsia="Malgun Gothic"/>
          <w:iCs/>
          <w:kern w:val="22"/>
          <w:szCs w:val="22"/>
          <w:lang w:val="fr-FR" w:eastAsia="x-none"/>
        </w:rPr>
        <w:t>En raison de la pandémie, des restrictions de voyage et</w:t>
      </w:r>
      <w:r w:rsidR="00317402">
        <w:rPr>
          <w:rFonts w:eastAsia="Malgun Gothic"/>
          <w:iCs/>
          <w:kern w:val="22"/>
          <w:szCs w:val="22"/>
          <w:lang w:val="fr-FR" w:eastAsia="x-none"/>
        </w:rPr>
        <w:t xml:space="preserve"> des</w:t>
      </w:r>
      <w:r w:rsidR="004346C4" w:rsidRPr="004346C4">
        <w:rPr>
          <w:rFonts w:eastAsia="Malgun Gothic"/>
          <w:iCs/>
          <w:kern w:val="22"/>
          <w:szCs w:val="22"/>
          <w:lang w:val="fr-FR" w:eastAsia="x-none"/>
        </w:rPr>
        <w:t xml:space="preserve"> grands rassemblements dans le monde, il </w:t>
      </w:r>
      <w:r w:rsidR="00634F61">
        <w:rPr>
          <w:rFonts w:eastAsia="Malgun Gothic"/>
          <w:iCs/>
          <w:kern w:val="22"/>
          <w:szCs w:val="22"/>
          <w:lang w:val="fr-FR" w:eastAsia="x-none"/>
        </w:rPr>
        <w:t>est devenu</w:t>
      </w:r>
      <w:r w:rsidR="004346C4" w:rsidRPr="004346C4">
        <w:rPr>
          <w:rFonts w:eastAsia="Malgun Gothic"/>
          <w:iCs/>
          <w:kern w:val="22"/>
          <w:szCs w:val="22"/>
          <w:lang w:val="fr-FR" w:eastAsia="x-none"/>
        </w:rPr>
        <w:t xml:space="preserve"> nécessaire de reporter la quinzième réunion de la Conférence des Parties et des réunions connexes à 2021. En conséquence, d'autres dispositions seront nécessaires pour permettre la continuité des </w:t>
      </w:r>
      <w:r w:rsidR="004346C4" w:rsidRPr="004346C4">
        <w:rPr>
          <w:rFonts w:eastAsia="Malgun Gothic"/>
          <w:iCs/>
          <w:kern w:val="22"/>
          <w:szCs w:val="22"/>
          <w:lang w:val="fr-FR" w:eastAsia="x-none"/>
        </w:rPr>
        <w:lastRenderedPageBreak/>
        <w:t>opérations de la Convention au-delà du 31 décembre 2020, y compris le fonctionnement du Secrétariat et l</w:t>
      </w:r>
      <w:r w:rsidR="0020556E">
        <w:rPr>
          <w:rFonts w:eastAsia="Malgun Gothic"/>
          <w:iCs/>
          <w:kern w:val="22"/>
          <w:szCs w:val="22"/>
          <w:lang w:val="fr-FR" w:eastAsia="x-none"/>
        </w:rPr>
        <w:t>e maintien</w:t>
      </w:r>
      <w:r w:rsidR="004346C4" w:rsidRPr="004346C4">
        <w:rPr>
          <w:rFonts w:eastAsia="Malgun Gothic"/>
          <w:iCs/>
          <w:kern w:val="22"/>
          <w:szCs w:val="22"/>
          <w:lang w:val="fr-FR" w:eastAsia="x-none"/>
        </w:rPr>
        <w:t xml:space="preserve"> des réunions reportées à 2021. </w:t>
      </w:r>
    </w:p>
    <w:p w14:paraId="4C12392E" w14:textId="4A2A18A2" w:rsidR="00084E4F" w:rsidRDefault="00084E4F" w:rsidP="00084E4F">
      <w:pPr>
        <w:spacing w:before="120" w:after="120"/>
        <w:rPr>
          <w:rFonts w:eastAsia="Malgun Gothic"/>
          <w:iCs/>
          <w:kern w:val="22"/>
          <w:szCs w:val="22"/>
          <w:lang w:val="fr-FR" w:eastAsia="x-none"/>
        </w:rPr>
      </w:pPr>
      <w:r>
        <w:rPr>
          <w:rFonts w:eastAsia="Malgun Gothic"/>
          <w:iCs/>
          <w:kern w:val="22"/>
          <w:szCs w:val="22"/>
          <w:lang w:val="fr-FR" w:eastAsia="x-none"/>
        </w:rPr>
        <w:t xml:space="preserve">3. </w:t>
      </w:r>
      <w:r>
        <w:rPr>
          <w:rFonts w:eastAsia="Malgun Gothic"/>
          <w:iCs/>
          <w:kern w:val="22"/>
          <w:szCs w:val="22"/>
          <w:lang w:val="fr-FR" w:eastAsia="x-none"/>
        </w:rPr>
        <w:tab/>
      </w:r>
      <w:r w:rsidR="004346C4" w:rsidRPr="00084E4F">
        <w:rPr>
          <w:rFonts w:eastAsia="Malgun Gothic"/>
          <w:iCs/>
          <w:kern w:val="22"/>
          <w:szCs w:val="22"/>
          <w:lang w:val="fr-FR" w:eastAsia="x-none"/>
        </w:rPr>
        <w:t>Le Bureau de la Conférence des Parties a examiné cette question et a proposé que, à titre exceptionnel, les Parties examinent et approuvent un budget intérimaire pour 2021 lors de</w:t>
      </w:r>
      <w:r w:rsidR="00A137D5">
        <w:rPr>
          <w:rFonts w:eastAsia="Malgun Gothic"/>
          <w:iCs/>
          <w:kern w:val="22"/>
          <w:szCs w:val="22"/>
          <w:lang w:val="fr-FR" w:eastAsia="x-none"/>
        </w:rPr>
        <w:t>s</w:t>
      </w:r>
      <w:r w:rsidR="004346C4" w:rsidRPr="00084E4F">
        <w:rPr>
          <w:rFonts w:eastAsia="Malgun Gothic"/>
          <w:iCs/>
          <w:kern w:val="22"/>
          <w:szCs w:val="22"/>
          <w:lang w:val="fr-FR" w:eastAsia="x-none"/>
        </w:rPr>
        <w:t xml:space="preserve"> réunions extraordinaires en recourant à une procédure écrite</w:t>
      </w:r>
      <w:r w:rsidR="00855825">
        <w:rPr>
          <w:rStyle w:val="FootnoteReference"/>
          <w:rFonts w:eastAsia="Malgun Gothic"/>
          <w:iCs/>
          <w:kern w:val="22"/>
          <w:lang w:eastAsia="x-none"/>
        </w:rPr>
        <w:footnoteReference w:id="4"/>
      </w:r>
      <w:r w:rsidR="00634F61" w:rsidRPr="00084E4F">
        <w:rPr>
          <w:rFonts w:eastAsia="Malgun Gothic"/>
          <w:iCs/>
          <w:kern w:val="22"/>
          <w:szCs w:val="22"/>
          <w:lang w:val="fr-FR" w:eastAsia="x-none"/>
        </w:rPr>
        <w:t xml:space="preserve">. </w:t>
      </w:r>
      <w:r w:rsidR="004346C4" w:rsidRPr="00084E4F">
        <w:rPr>
          <w:rFonts w:eastAsia="Malgun Gothic"/>
          <w:iCs/>
          <w:kern w:val="22"/>
          <w:szCs w:val="22"/>
          <w:lang w:val="fr-FR" w:eastAsia="x-none"/>
        </w:rPr>
        <w:t xml:space="preserve">La Secrétaire exécutive a donc préparé un budget intérimaire pour 2021, tel qu'il figure dans le présent document.  </w:t>
      </w:r>
    </w:p>
    <w:p w14:paraId="03B04F79" w14:textId="2B78BCA2" w:rsidR="003B1E8F" w:rsidRPr="005B4EF3" w:rsidRDefault="00084E4F" w:rsidP="00084E4F">
      <w:pPr>
        <w:spacing w:before="120" w:after="120"/>
        <w:rPr>
          <w:rFonts w:eastAsia="Malgun Gothic"/>
          <w:iCs/>
          <w:kern w:val="22"/>
          <w:szCs w:val="22"/>
          <w:lang w:val="fr-FR" w:eastAsia="x-none"/>
        </w:rPr>
      </w:pPr>
      <w:r>
        <w:rPr>
          <w:rFonts w:eastAsia="Malgun Gothic"/>
          <w:iCs/>
          <w:kern w:val="22"/>
          <w:szCs w:val="22"/>
          <w:lang w:val="fr-FR" w:eastAsia="x-none"/>
        </w:rPr>
        <w:t>4.</w:t>
      </w:r>
      <w:r>
        <w:rPr>
          <w:rFonts w:eastAsia="Malgun Gothic"/>
          <w:iCs/>
          <w:kern w:val="22"/>
          <w:szCs w:val="22"/>
          <w:lang w:val="fr-FR" w:eastAsia="x-none"/>
        </w:rPr>
        <w:tab/>
      </w:r>
      <w:r w:rsidR="003B1E8F" w:rsidRPr="005B4EF3">
        <w:rPr>
          <w:kern w:val="22"/>
          <w:szCs w:val="22"/>
          <w:lang w:val="fr-FR"/>
        </w:rPr>
        <w:t xml:space="preserve">Le présent document est divisé en </w:t>
      </w:r>
      <w:r w:rsidR="00634F61">
        <w:rPr>
          <w:kern w:val="22"/>
          <w:szCs w:val="22"/>
          <w:lang w:val="fr-FR"/>
        </w:rPr>
        <w:t>six</w:t>
      </w:r>
      <w:r w:rsidR="003B1E8F" w:rsidRPr="005B4EF3">
        <w:rPr>
          <w:kern w:val="22"/>
          <w:szCs w:val="22"/>
          <w:lang w:val="fr-FR"/>
        </w:rPr>
        <w:t xml:space="preserve"> sections. La section I traite </w:t>
      </w:r>
      <w:r w:rsidR="006A75F3">
        <w:rPr>
          <w:kern w:val="22"/>
          <w:szCs w:val="22"/>
          <w:lang w:val="fr-FR"/>
        </w:rPr>
        <w:t>les re</w:t>
      </w:r>
      <w:r w:rsidR="007E415D">
        <w:rPr>
          <w:kern w:val="22"/>
          <w:szCs w:val="22"/>
          <w:lang w:val="fr-FR"/>
        </w:rPr>
        <w:t xml:space="preserve">cettes </w:t>
      </w:r>
      <w:r w:rsidR="003B1E8F" w:rsidRPr="005B4EF3">
        <w:rPr>
          <w:kern w:val="22"/>
          <w:szCs w:val="22"/>
          <w:lang w:val="fr-FR"/>
        </w:rPr>
        <w:t xml:space="preserve">et l'exécution du budget pour l'exercice biennal 2019-2020. Dans la section II, le Secrétariat soumet une proposition de prolongation d'un an du budget 2019-2020 pour permettre la mise en œuvre de certaines activités qui ont été reprogrammées en raison de la pandémie. </w:t>
      </w:r>
      <w:r w:rsidR="006A75F3">
        <w:rPr>
          <w:kern w:val="22"/>
          <w:szCs w:val="22"/>
          <w:lang w:val="fr-FR"/>
        </w:rPr>
        <w:t>Enfin, d</w:t>
      </w:r>
      <w:r w:rsidR="003B1E8F" w:rsidRPr="005B4EF3">
        <w:rPr>
          <w:kern w:val="22"/>
          <w:szCs w:val="22"/>
          <w:lang w:val="fr-FR"/>
        </w:rPr>
        <w:t xml:space="preserve">ans la section III, une proposition de budget intégré provisoire est présentée pour permettre la </w:t>
      </w:r>
      <w:r w:rsidR="006A75F3">
        <w:rPr>
          <w:kern w:val="22"/>
          <w:szCs w:val="22"/>
          <w:lang w:val="fr-FR"/>
        </w:rPr>
        <w:t xml:space="preserve">continuité </w:t>
      </w:r>
      <w:r w:rsidR="003B1E8F" w:rsidRPr="005B4EF3">
        <w:rPr>
          <w:kern w:val="22"/>
          <w:szCs w:val="22"/>
          <w:lang w:val="fr-FR"/>
        </w:rPr>
        <w:t xml:space="preserve">des activités de la Convention et des protocoles, y compris du Secrétariat au cours de l'année 2021 en attendant l'adoption d'un budget pour l'exercice </w:t>
      </w:r>
      <w:r w:rsidR="00326A75">
        <w:rPr>
          <w:kern w:val="22"/>
          <w:szCs w:val="22"/>
          <w:lang w:val="fr-FR"/>
        </w:rPr>
        <w:t xml:space="preserve">biennal </w:t>
      </w:r>
      <w:r w:rsidR="003B1E8F" w:rsidRPr="005B4EF3">
        <w:rPr>
          <w:kern w:val="22"/>
          <w:szCs w:val="22"/>
          <w:lang w:val="fr-FR"/>
        </w:rPr>
        <w:t>2021-2022 par la Conférence des Parties lors de sa quinzième réunion. Les projets de décisions à soumettre à l'examen de la Conférence des Parties et des réunions respectives des Parties pour les Protocoles de Cartagena et de Nagoya sont présentés dans les sections IV, V et VI.</w:t>
      </w:r>
    </w:p>
    <w:p w14:paraId="599D462A" w14:textId="5DA32A5D" w:rsidR="005B4EF3" w:rsidRPr="005B4EF3" w:rsidRDefault="00084E4F" w:rsidP="00084E4F">
      <w:pPr>
        <w:pStyle w:val="ListParagraph"/>
        <w:spacing w:before="120" w:after="120"/>
        <w:ind w:left="0"/>
        <w:contextualSpacing w:val="0"/>
        <w:rPr>
          <w:rFonts w:eastAsia="Malgun Gothic"/>
          <w:iCs/>
          <w:kern w:val="22"/>
          <w:szCs w:val="22"/>
          <w:lang w:val="fr-FR" w:eastAsia="x-none"/>
        </w:rPr>
      </w:pPr>
      <w:r>
        <w:rPr>
          <w:rFonts w:eastAsia="Malgun Gothic"/>
          <w:iCs/>
          <w:kern w:val="22"/>
          <w:szCs w:val="22"/>
          <w:lang w:val="fr-FR" w:eastAsia="x-none"/>
        </w:rPr>
        <w:t>5.</w:t>
      </w:r>
      <w:r>
        <w:rPr>
          <w:rFonts w:eastAsia="Malgun Gothic"/>
          <w:iCs/>
          <w:kern w:val="22"/>
          <w:szCs w:val="22"/>
          <w:lang w:val="fr-FR" w:eastAsia="x-none"/>
        </w:rPr>
        <w:tab/>
      </w:r>
      <w:r w:rsidR="003B1E8F" w:rsidRPr="005B4EF3">
        <w:rPr>
          <w:rFonts w:eastAsia="Malgun Gothic"/>
          <w:iCs/>
          <w:kern w:val="22"/>
          <w:szCs w:val="22"/>
          <w:lang w:val="fr-FR" w:eastAsia="x-none"/>
        </w:rPr>
        <w:t xml:space="preserve">Il est </w:t>
      </w:r>
      <w:r w:rsidR="000660D0">
        <w:rPr>
          <w:rFonts w:eastAsia="Malgun Gothic"/>
          <w:iCs/>
          <w:kern w:val="22"/>
          <w:szCs w:val="22"/>
          <w:lang w:val="fr-FR" w:eastAsia="x-none"/>
        </w:rPr>
        <w:t xml:space="preserve">convenu </w:t>
      </w:r>
      <w:r w:rsidR="003B1E8F" w:rsidRPr="005B4EF3">
        <w:rPr>
          <w:rFonts w:eastAsia="Malgun Gothic"/>
          <w:iCs/>
          <w:kern w:val="22"/>
          <w:szCs w:val="22"/>
          <w:lang w:val="fr-FR" w:eastAsia="x-none"/>
        </w:rPr>
        <w:t xml:space="preserve">que la quinzième réunion de la Conférence des Parties </w:t>
      </w:r>
      <w:r w:rsidR="00326A75">
        <w:rPr>
          <w:rFonts w:eastAsia="Malgun Gothic"/>
          <w:iCs/>
          <w:kern w:val="22"/>
          <w:szCs w:val="22"/>
          <w:lang w:val="fr-FR" w:eastAsia="x-none"/>
        </w:rPr>
        <w:t>ainsi que les</w:t>
      </w:r>
      <w:r w:rsidR="00326A75" w:rsidRPr="00326A75">
        <w:rPr>
          <w:rFonts w:eastAsia="Malgun Gothic"/>
          <w:iCs/>
          <w:kern w:val="22"/>
          <w:szCs w:val="22"/>
          <w:lang w:val="fr-FR" w:eastAsia="x-none"/>
        </w:rPr>
        <w:t xml:space="preserve"> réunions simultanées des </w:t>
      </w:r>
      <w:r w:rsidR="00326A75">
        <w:rPr>
          <w:rFonts w:eastAsia="Malgun Gothic"/>
          <w:iCs/>
          <w:kern w:val="22"/>
          <w:szCs w:val="22"/>
          <w:lang w:val="fr-FR" w:eastAsia="x-none"/>
        </w:rPr>
        <w:t>P</w:t>
      </w:r>
      <w:r w:rsidR="00326A75" w:rsidRPr="00326A75">
        <w:rPr>
          <w:rFonts w:eastAsia="Malgun Gothic"/>
          <w:iCs/>
          <w:kern w:val="22"/>
          <w:szCs w:val="22"/>
          <w:lang w:val="fr-FR" w:eastAsia="x-none"/>
        </w:rPr>
        <w:t xml:space="preserve">arties aux </w:t>
      </w:r>
      <w:r w:rsidR="00326A75">
        <w:rPr>
          <w:rFonts w:eastAsia="Malgun Gothic"/>
          <w:iCs/>
          <w:kern w:val="22"/>
          <w:szCs w:val="22"/>
          <w:lang w:val="fr-FR" w:eastAsia="x-none"/>
        </w:rPr>
        <w:t>P</w:t>
      </w:r>
      <w:r w:rsidR="00326A75" w:rsidRPr="00326A75">
        <w:rPr>
          <w:rFonts w:eastAsia="Malgun Gothic"/>
          <w:iCs/>
          <w:kern w:val="22"/>
          <w:szCs w:val="22"/>
          <w:lang w:val="fr-FR" w:eastAsia="x-none"/>
        </w:rPr>
        <w:t xml:space="preserve">rotocoles </w:t>
      </w:r>
      <w:r w:rsidR="003B1E8F" w:rsidRPr="005B4EF3">
        <w:rPr>
          <w:rFonts w:eastAsia="Malgun Gothic"/>
          <w:iCs/>
          <w:kern w:val="22"/>
          <w:szCs w:val="22"/>
          <w:lang w:val="fr-FR" w:eastAsia="x-none"/>
        </w:rPr>
        <w:t>examinerai</w:t>
      </w:r>
      <w:r w:rsidR="00A137D5">
        <w:rPr>
          <w:rFonts w:eastAsia="Malgun Gothic"/>
          <w:iCs/>
          <w:kern w:val="22"/>
          <w:szCs w:val="22"/>
          <w:lang w:val="fr-FR" w:eastAsia="x-none"/>
        </w:rPr>
        <w:t>en</w:t>
      </w:r>
      <w:r w:rsidR="003B1E8F" w:rsidRPr="005B4EF3">
        <w:rPr>
          <w:rFonts w:eastAsia="Malgun Gothic"/>
          <w:iCs/>
          <w:kern w:val="22"/>
          <w:szCs w:val="22"/>
          <w:lang w:val="fr-FR" w:eastAsia="x-none"/>
        </w:rPr>
        <w:t>t encore le budget complet pour l'exercice biennal 2021-2022, ou pour toute autre période que la Conférence des Parties</w:t>
      </w:r>
      <w:r w:rsidR="00944E1F">
        <w:rPr>
          <w:rFonts w:eastAsia="Malgun Gothic"/>
          <w:iCs/>
          <w:kern w:val="22"/>
          <w:szCs w:val="22"/>
          <w:lang w:val="fr-FR" w:eastAsia="x-none"/>
        </w:rPr>
        <w:t xml:space="preserve"> et les réunions simultanées des Parties aux Protocoles</w:t>
      </w:r>
      <w:r w:rsidR="003B1E8F" w:rsidRPr="005B4EF3">
        <w:rPr>
          <w:rFonts w:eastAsia="Malgun Gothic"/>
          <w:iCs/>
          <w:kern w:val="22"/>
          <w:szCs w:val="22"/>
          <w:lang w:val="fr-FR" w:eastAsia="x-none"/>
        </w:rPr>
        <w:t xml:space="preserve"> pourrai</w:t>
      </w:r>
      <w:r w:rsidR="00A137D5">
        <w:rPr>
          <w:rFonts w:eastAsia="Malgun Gothic"/>
          <w:iCs/>
          <w:kern w:val="22"/>
          <w:szCs w:val="22"/>
          <w:lang w:val="fr-FR" w:eastAsia="x-none"/>
        </w:rPr>
        <w:t>en</w:t>
      </w:r>
      <w:r w:rsidR="003B1E8F" w:rsidRPr="005B4EF3">
        <w:rPr>
          <w:rFonts w:eastAsia="Malgun Gothic"/>
          <w:iCs/>
          <w:kern w:val="22"/>
          <w:szCs w:val="22"/>
          <w:lang w:val="fr-FR" w:eastAsia="x-none"/>
        </w:rPr>
        <w:t>t décider, conformément au règlement financier</w:t>
      </w:r>
      <w:r w:rsidR="00DC7648">
        <w:rPr>
          <w:rStyle w:val="FootnoteReference"/>
          <w:rFonts w:eastAsia="Malgun Gothic"/>
          <w:iCs/>
          <w:kern w:val="22"/>
          <w:lang w:eastAsia="x-none"/>
        </w:rPr>
        <w:footnoteReference w:customMarkFollows="1" w:id="5"/>
        <w:t>2</w:t>
      </w:r>
      <w:r w:rsidR="003B1E8F" w:rsidRPr="005B4EF3">
        <w:rPr>
          <w:rFonts w:eastAsia="Malgun Gothic"/>
          <w:iCs/>
          <w:kern w:val="22"/>
          <w:szCs w:val="22"/>
          <w:lang w:val="fr-FR" w:eastAsia="x-none"/>
        </w:rPr>
        <w:t xml:space="preserve">. En conséquence, il est entendu que le budget intérimaire devrait être limité à ce qui est nécessaire pour la </w:t>
      </w:r>
      <w:r w:rsidR="000660D0">
        <w:rPr>
          <w:rFonts w:eastAsia="Malgun Gothic"/>
          <w:iCs/>
          <w:kern w:val="22"/>
          <w:szCs w:val="22"/>
          <w:lang w:val="fr-FR" w:eastAsia="x-none"/>
        </w:rPr>
        <w:t>continuité</w:t>
      </w:r>
      <w:r w:rsidR="003B1E8F" w:rsidRPr="005B4EF3">
        <w:rPr>
          <w:rFonts w:eastAsia="Malgun Gothic"/>
          <w:iCs/>
          <w:kern w:val="22"/>
          <w:szCs w:val="22"/>
          <w:lang w:val="fr-FR" w:eastAsia="x-none"/>
        </w:rPr>
        <w:t xml:space="preserve"> des activités de la Convention et des protocoles, y compris la préparation et la convocation de la quinzième </w:t>
      </w:r>
      <w:r w:rsidR="00944E1F">
        <w:rPr>
          <w:rFonts w:eastAsia="Malgun Gothic"/>
          <w:iCs/>
          <w:kern w:val="22"/>
          <w:szCs w:val="22"/>
          <w:lang w:val="fr-FR" w:eastAsia="x-none"/>
        </w:rPr>
        <w:t>réunion</w:t>
      </w:r>
      <w:r w:rsidR="003B1E8F" w:rsidRPr="005B4EF3">
        <w:rPr>
          <w:rFonts w:eastAsia="Malgun Gothic"/>
          <w:iCs/>
          <w:kern w:val="22"/>
          <w:szCs w:val="22"/>
          <w:lang w:val="fr-FR" w:eastAsia="x-none"/>
        </w:rPr>
        <w:t xml:space="preserve"> de la Conférence des Parties</w:t>
      </w:r>
      <w:r w:rsidR="00944E1F">
        <w:rPr>
          <w:rFonts w:eastAsia="Malgun Gothic"/>
          <w:iCs/>
          <w:kern w:val="22"/>
          <w:szCs w:val="22"/>
          <w:lang w:val="fr-FR" w:eastAsia="x-none"/>
        </w:rPr>
        <w:t xml:space="preserve"> et des autres réunions reprogrammé</w:t>
      </w:r>
      <w:r w:rsidR="00A137D5">
        <w:rPr>
          <w:rFonts w:eastAsia="Malgun Gothic"/>
          <w:iCs/>
          <w:kern w:val="22"/>
          <w:szCs w:val="22"/>
          <w:lang w:val="fr-FR" w:eastAsia="x-none"/>
        </w:rPr>
        <w:t>e</w:t>
      </w:r>
      <w:r w:rsidR="00944E1F">
        <w:rPr>
          <w:rFonts w:eastAsia="Malgun Gothic"/>
          <w:iCs/>
          <w:kern w:val="22"/>
          <w:szCs w:val="22"/>
          <w:lang w:val="fr-FR" w:eastAsia="x-none"/>
        </w:rPr>
        <w:t>s en 2021.</w:t>
      </w:r>
    </w:p>
    <w:p w14:paraId="6747530D" w14:textId="400A3CD4" w:rsidR="000A2755" w:rsidRPr="004C58BD" w:rsidRDefault="00607DB6" w:rsidP="006E23F0">
      <w:pPr>
        <w:pStyle w:val="ListParagraph"/>
        <w:numPr>
          <w:ilvl w:val="0"/>
          <w:numId w:val="9"/>
        </w:numPr>
        <w:spacing w:before="120" w:after="120"/>
        <w:ind w:left="1170" w:hanging="450"/>
        <w:contextualSpacing w:val="0"/>
        <w:rPr>
          <w:rFonts w:eastAsia="Malgun Gothic"/>
          <w:iCs/>
          <w:kern w:val="22"/>
          <w:szCs w:val="22"/>
          <w:lang w:val="fr-FR" w:eastAsia="x-none"/>
        </w:rPr>
      </w:pPr>
      <w:r>
        <w:rPr>
          <w:rFonts w:eastAsia="Malgun Gothic"/>
          <w:b/>
          <w:bCs/>
          <w:iCs/>
          <w:color w:val="000000" w:themeColor="text1"/>
          <w:kern w:val="22"/>
          <w:szCs w:val="22"/>
          <w:lang w:val="fr-FR" w:eastAsia="x-none"/>
        </w:rPr>
        <w:t xml:space="preserve">RÉSUMÉ </w:t>
      </w:r>
      <w:r w:rsidRPr="00BC12C8">
        <w:rPr>
          <w:rFonts w:eastAsia="Malgun Gothic"/>
          <w:b/>
          <w:bCs/>
          <w:iCs/>
          <w:color w:val="000000" w:themeColor="text1"/>
          <w:kern w:val="22"/>
          <w:szCs w:val="22"/>
          <w:lang w:val="fr-FR" w:eastAsia="x-none"/>
        </w:rPr>
        <w:t>DES RE</w:t>
      </w:r>
      <w:r w:rsidR="00BC12C8" w:rsidRPr="00BC12C8">
        <w:rPr>
          <w:rFonts w:eastAsia="Malgun Gothic"/>
          <w:b/>
          <w:bCs/>
          <w:iCs/>
          <w:color w:val="000000" w:themeColor="text1"/>
          <w:kern w:val="22"/>
          <w:szCs w:val="22"/>
          <w:lang w:val="fr-FR" w:eastAsia="x-none"/>
        </w:rPr>
        <w:t>CETTES</w:t>
      </w:r>
      <w:r w:rsidRPr="00BC12C8">
        <w:rPr>
          <w:rFonts w:eastAsia="Malgun Gothic"/>
          <w:b/>
          <w:bCs/>
          <w:iCs/>
          <w:color w:val="000000" w:themeColor="text1"/>
          <w:kern w:val="22"/>
          <w:szCs w:val="22"/>
          <w:lang w:val="fr-FR" w:eastAsia="x-none"/>
        </w:rPr>
        <w:t xml:space="preserve"> ET DE L’</w:t>
      </w:r>
      <w:r w:rsidR="00A137D5">
        <w:rPr>
          <w:rFonts w:eastAsia="Malgun Gothic"/>
          <w:b/>
          <w:bCs/>
          <w:iCs/>
          <w:color w:val="000000" w:themeColor="text1"/>
          <w:kern w:val="22"/>
          <w:szCs w:val="22"/>
          <w:lang w:val="fr-FR" w:eastAsia="x-none"/>
        </w:rPr>
        <w:t>EXÉ</w:t>
      </w:r>
      <w:r w:rsidRPr="00BC12C8">
        <w:rPr>
          <w:rFonts w:eastAsia="Malgun Gothic"/>
          <w:b/>
          <w:bCs/>
          <w:iCs/>
          <w:color w:val="000000" w:themeColor="text1"/>
          <w:kern w:val="22"/>
          <w:szCs w:val="22"/>
          <w:lang w:val="fr-FR" w:eastAsia="x-none"/>
        </w:rPr>
        <w:t xml:space="preserve">CUTION DU BUDGET POUR </w:t>
      </w:r>
      <w:r>
        <w:rPr>
          <w:rFonts w:eastAsia="Malgun Gothic"/>
          <w:b/>
          <w:bCs/>
          <w:iCs/>
          <w:color w:val="000000" w:themeColor="text1"/>
          <w:kern w:val="22"/>
          <w:szCs w:val="22"/>
          <w:lang w:val="fr-FR" w:eastAsia="x-none"/>
        </w:rPr>
        <w:t>L’EXERCICE BIENNAL 2019-2020</w:t>
      </w:r>
    </w:p>
    <w:p w14:paraId="018B99C1" w14:textId="77859A6C" w:rsidR="004C58BD" w:rsidRPr="004C58BD" w:rsidRDefault="004C58BD" w:rsidP="005B7371">
      <w:pPr>
        <w:pStyle w:val="ListParagraph"/>
        <w:numPr>
          <w:ilvl w:val="0"/>
          <w:numId w:val="12"/>
        </w:numPr>
        <w:spacing w:before="120" w:after="120"/>
        <w:rPr>
          <w:rFonts w:eastAsia="Malgun Gothic"/>
          <w:iCs/>
          <w:kern w:val="22"/>
          <w:szCs w:val="22"/>
          <w:lang w:val="fr-FR" w:eastAsia="x-none"/>
        </w:rPr>
      </w:pPr>
      <w:r w:rsidRPr="004C58BD">
        <w:rPr>
          <w:rFonts w:eastAsia="Malgun Gothic"/>
          <w:b/>
          <w:bCs/>
          <w:iCs/>
          <w:color w:val="000000" w:themeColor="text1"/>
          <w:kern w:val="22"/>
          <w:szCs w:val="22"/>
          <w:lang w:val="fr-FR" w:eastAsia="x-none"/>
        </w:rPr>
        <w:t>Re</w:t>
      </w:r>
      <w:r w:rsidR="007E415D">
        <w:rPr>
          <w:rFonts w:eastAsia="Malgun Gothic"/>
          <w:b/>
          <w:bCs/>
          <w:iCs/>
          <w:color w:val="000000" w:themeColor="text1"/>
          <w:kern w:val="22"/>
          <w:szCs w:val="22"/>
          <w:lang w:val="fr-FR" w:eastAsia="x-none"/>
        </w:rPr>
        <w:t>cettes</w:t>
      </w:r>
    </w:p>
    <w:p w14:paraId="77558179" w14:textId="299736C1" w:rsidR="003B1E8F" w:rsidRPr="005B4EF3" w:rsidRDefault="00084E4F" w:rsidP="00084E4F">
      <w:pPr>
        <w:pStyle w:val="ListParagraph"/>
        <w:spacing w:before="120" w:after="120"/>
        <w:ind w:left="0"/>
        <w:contextualSpacing w:val="0"/>
        <w:rPr>
          <w:iCs/>
          <w:kern w:val="22"/>
          <w:lang w:val="fr-FR"/>
        </w:rPr>
      </w:pPr>
      <w:r>
        <w:rPr>
          <w:iCs/>
          <w:kern w:val="22"/>
          <w:lang w:val="fr-FR"/>
        </w:rPr>
        <w:t>6.</w:t>
      </w:r>
      <w:r>
        <w:rPr>
          <w:iCs/>
          <w:kern w:val="22"/>
          <w:lang w:val="fr-FR"/>
        </w:rPr>
        <w:tab/>
      </w:r>
      <w:r w:rsidR="003B1E8F" w:rsidRPr="005B4EF3">
        <w:rPr>
          <w:iCs/>
          <w:kern w:val="22"/>
          <w:lang w:val="fr-FR"/>
        </w:rPr>
        <w:t xml:space="preserve">Dans la décision 14/37, la Conférence des Parties et les réunions respectives des Parties aux </w:t>
      </w:r>
      <w:r w:rsidR="00944E1F">
        <w:rPr>
          <w:iCs/>
          <w:kern w:val="22"/>
          <w:lang w:val="fr-FR"/>
        </w:rPr>
        <w:t>P</w:t>
      </w:r>
      <w:r w:rsidR="003B1E8F" w:rsidRPr="005B4EF3">
        <w:rPr>
          <w:iCs/>
          <w:kern w:val="22"/>
          <w:lang w:val="fr-FR"/>
        </w:rPr>
        <w:t xml:space="preserve">rotocoles ont approuvé un budget de base intégré de 18 949 000 dollars </w:t>
      </w:r>
      <w:r w:rsidR="00BD149A">
        <w:rPr>
          <w:iCs/>
          <w:kern w:val="22"/>
          <w:lang w:val="fr-FR"/>
        </w:rPr>
        <w:t>É.U</w:t>
      </w:r>
      <w:r w:rsidR="003B1E8F" w:rsidRPr="005B4EF3">
        <w:rPr>
          <w:iCs/>
          <w:kern w:val="22"/>
          <w:lang w:val="fr-FR"/>
        </w:rPr>
        <w:t xml:space="preserve"> pour l'année 2019 et de 19 895 100 dollars </w:t>
      </w:r>
      <w:r w:rsidR="00BD149A">
        <w:rPr>
          <w:iCs/>
          <w:kern w:val="22"/>
          <w:lang w:val="fr-FR"/>
        </w:rPr>
        <w:t>É.U</w:t>
      </w:r>
      <w:r w:rsidR="003B1E8F" w:rsidRPr="005B4EF3">
        <w:rPr>
          <w:iCs/>
          <w:kern w:val="22"/>
          <w:lang w:val="fr-FR"/>
        </w:rPr>
        <w:t xml:space="preserve"> pour l'année 2020.  Après déduction des économies réalisées sur la période précédente et de la contribution du pays </w:t>
      </w:r>
      <w:r w:rsidR="0067294A">
        <w:rPr>
          <w:iCs/>
          <w:kern w:val="22"/>
          <w:lang w:val="fr-FR"/>
        </w:rPr>
        <w:t>hôte</w:t>
      </w:r>
      <w:r w:rsidR="003B1E8F" w:rsidRPr="005B4EF3">
        <w:rPr>
          <w:iCs/>
          <w:kern w:val="22"/>
          <w:lang w:val="fr-FR"/>
        </w:rPr>
        <w:t xml:space="preserve">, le total des contributions pour 2019 et 2020 s'élève à 32 984 700 dollars. Les contributions des nouvelles </w:t>
      </w:r>
      <w:r w:rsidR="003F7A1D">
        <w:rPr>
          <w:iCs/>
          <w:kern w:val="22"/>
          <w:lang w:val="fr-FR"/>
        </w:rPr>
        <w:t>P</w:t>
      </w:r>
      <w:r w:rsidR="003B1E8F" w:rsidRPr="005B4EF3">
        <w:rPr>
          <w:iCs/>
          <w:kern w:val="22"/>
          <w:lang w:val="fr-FR"/>
        </w:rPr>
        <w:t xml:space="preserve">arties aux protocoles en 2019 et 2020 (15 pays ont ratifié le </w:t>
      </w:r>
      <w:r w:rsidR="000660D0">
        <w:rPr>
          <w:iCs/>
          <w:kern w:val="22"/>
          <w:lang w:val="fr-FR"/>
        </w:rPr>
        <w:t>P</w:t>
      </w:r>
      <w:r w:rsidR="003B1E8F" w:rsidRPr="005B4EF3">
        <w:rPr>
          <w:iCs/>
          <w:kern w:val="22"/>
          <w:lang w:val="fr-FR"/>
        </w:rPr>
        <w:t xml:space="preserve">rotocole de Nagoya et un pays est devenu </w:t>
      </w:r>
      <w:r w:rsidR="003F7A1D">
        <w:rPr>
          <w:iCs/>
          <w:kern w:val="22"/>
          <w:lang w:val="fr-FR"/>
        </w:rPr>
        <w:t>P</w:t>
      </w:r>
      <w:r w:rsidR="003B1E8F" w:rsidRPr="005B4EF3">
        <w:rPr>
          <w:iCs/>
          <w:kern w:val="22"/>
          <w:lang w:val="fr-FR"/>
        </w:rPr>
        <w:t xml:space="preserve">artie au </w:t>
      </w:r>
      <w:r w:rsidR="003F7A1D">
        <w:rPr>
          <w:iCs/>
          <w:kern w:val="22"/>
          <w:lang w:val="fr-FR"/>
        </w:rPr>
        <w:t>P</w:t>
      </w:r>
      <w:r w:rsidR="003B1E8F" w:rsidRPr="005B4EF3">
        <w:rPr>
          <w:iCs/>
          <w:kern w:val="22"/>
          <w:lang w:val="fr-FR"/>
        </w:rPr>
        <w:t>rotocole de Cartagena) s'élèvent à 90 200 dollars. Ainsi, le montant total des contributions est de 33 074 900</w:t>
      </w:r>
      <w:r w:rsidR="00944E1F">
        <w:rPr>
          <w:iCs/>
          <w:kern w:val="22"/>
          <w:lang w:val="fr-FR"/>
        </w:rPr>
        <w:t xml:space="preserve"> </w:t>
      </w:r>
      <w:r w:rsidR="00944E1F" w:rsidRPr="008F0C73">
        <w:rPr>
          <w:iCs/>
          <w:kern w:val="22"/>
          <w:lang w:val="fr-FR"/>
        </w:rPr>
        <w:t xml:space="preserve">dollars </w:t>
      </w:r>
      <w:r w:rsidR="00944E1F">
        <w:rPr>
          <w:iCs/>
          <w:kern w:val="22"/>
          <w:lang w:val="fr-FR"/>
        </w:rPr>
        <w:t>É.-U</w:t>
      </w:r>
      <w:r w:rsidR="003B1E8F" w:rsidRPr="005B4EF3">
        <w:rPr>
          <w:iCs/>
          <w:kern w:val="22"/>
          <w:lang w:val="fr-FR"/>
        </w:rPr>
        <w:t xml:space="preserve">, dont 16 045 000 </w:t>
      </w:r>
      <w:r w:rsidR="003D0F53">
        <w:rPr>
          <w:iCs/>
          <w:kern w:val="22"/>
          <w:lang w:val="fr-FR"/>
        </w:rPr>
        <w:t>dollars É.-U</w:t>
      </w:r>
      <w:r w:rsidR="003D0F53" w:rsidRPr="005B4EF3">
        <w:rPr>
          <w:iCs/>
          <w:kern w:val="22"/>
          <w:lang w:val="fr-FR"/>
        </w:rPr>
        <w:t xml:space="preserve"> </w:t>
      </w:r>
      <w:r w:rsidR="003B1E8F" w:rsidRPr="005B4EF3">
        <w:rPr>
          <w:iCs/>
          <w:kern w:val="22"/>
          <w:lang w:val="fr-FR"/>
        </w:rPr>
        <w:t xml:space="preserve">pour 2019 et 17 029 900 </w:t>
      </w:r>
      <w:r w:rsidR="003D0F53">
        <w:rPr>
          <w:iCs/>
          <w:kern w:val="22"/>
          <w:lang w:val="fr-FR"/>
        </w:rPr>
        <w:t>dollars É.-U</w:t>
      </w:r>
      <w:r w:rsidR="003D0F53" w:rsidRPr="005B4EF3">
        <w:rPr>
          <w:iCs/>
          <w:kern w:val="22"/>
          <w:lang w:val="fr-FR"/>
        </w:rPr>
        <w:t xml:space="preserve"> </w:t>
      </w:r>
      <w:r w:rsidR="003B1E8F" w:rsidRPr="005B4EF3">
        <w:rPr>
          <w:iCs/>
          <w:kern w:val="22"/>
          <w:lang w:val="fr-FR"/>
        </w:rPr>
        <w:t xml:space="preserve">pour 2020. Pour l'exercice 2019-2020, le Secrétariat a reçu </w:t>
      </w:r>
      <w:r w:rsidR="00944E1F">
        <w:rPr>
          <w:iCs/>
          <w:kern w:val="22"/>
          <w:lang w:val="fr-FR"/>
        </w:rPr>
        <w:t xml:space="preserve">au 31 août 2020 </w:t>
      </w:r>
      <w:r w:rsidR="003B1E8F" w:rsidRPr="005B4EF3">
        <w:rPr>
          <w:iCs/>
          <w:kern w:val="22"/>
          <w:lang w:val="fr-FR"/>
        </w:rPr>
        <w:t xml:space="preserve">des contributions s'élevant à 23 654 300 </w:t>
      </w:r>
      <w:r w:rsidR="003D0F53" w:rsidRPr="008F0C73">
        <w:rPr>
          <w:iCs/>
          <w:kern w:val="22"/>
          <w:lang w:val="fr-FR"/>
        </w:rPr>
        <w:t xml:space="preserve">dollars </w:t>
      </w:r>
      <w:r w:rsidR="003D0F53">
        <w:rPr>
          <w:iCs/>
          <w:kern w:val="22"/>
          <w:lang w:val="fr-FR"/>
        </w:rPr>
        <w:t>É.-U</w:t>
      </w:r>
      <w:r w:rsidR="003B1E8F" w:rsidRPr="005B4EF3">
        <w:rPr>
          <w:iCs/>
          <w:kern w:val="22"/>
          <w:lang w:val="fr-FR"/>
        </w:rPr>
        <w:t>.</w:t>
      </w:r>
      <w:bookmarkStart w:id="1" w:name="_Hlk49339275"/>
    </w:p>
    <w:p w14:paraId="5B8E3399" w14:textId="22288336" w:rsidR="00DA35D8" w:rsidRPr="006E23F0" w:rsidRDefault="00084E4F" w:rsidP="00084E4F">
      <w:pPr>
        <w:pStyle w:val="ListParagraph"/>
        <w:spacing w:before="120" w:after="120"/>
        <w:ind w:left="0"/>
        <w:contextualSpacing w:val="0"/>
        <w:rPr>
          <w:kern w:val="22"/>
          <w:lang w:val="fr-CA"/>
        </w:rPr>
      </w:pPr>
      <w:r>
        <w:rPr>
          <w:kern w:val="22"/>
          <w:lang w:val="fr-FR"/>
        </w:rPr>
        <w:t>7.</w:t>
      </w:r>
      <w:r>
        <w:rPr>
          <w:kern w:val="22"/>
          <w:lang w:val="fr-FR"/>
        </w:rPr>
        <w:tab/>
      </w:r>
      <w:r w:rsidR="003B1E8F" w:rsidRPr="005B4EF3">
        <w:rPr>
          <w:kern w:val="22"/>
          <w:lang w:val="fr-FR"/>
        </w:rPr>
        <w:t xml:space="preserve">Le taux de collecte </w:t>
      </w:r>
      <w:r w:rsidR="00A5330A">
        <w:rPr>
          <w:kern w:val="22"/>
          <w:lang w:val="fr-FR"/>
        </w:rPr>
        <w:t xml:space="preserve">à ce jour pour </w:t>
      </w:r>
      <w:r w:rsidR="003B1E8F" w:rsidRPr="005B4EF3">
        <w:rPr>
          <w:kern w:val="22"/>
          <w:lang w:val="fr-FR"/>
        </w:rPr>
        <w:t>2019 et 2020 respectivement est</w:t>
      </w:r>
      <w:r w:rsidR="00A5330A">
        <w:rPr>
          <w:kern w:val="22"/>
          <w:lang w:val="fr-FR"/>
        </w:rPr>
        <w:t xml:space="preserve"> </w:t>
      </w:r>
      <w:r w:rsidR="003B1E8F" w:rsidRPr="005B4EF3">
        <w:rPr>
          <w:kern w:val="22"/>
          <w:lang w:val="fr-FR"/>
        </w:rPr>
        <w:t>de 89,79</w:t>
      </w:r>
      <w:r w:rsidR="00A5330A">
        <w:rPr>
          <w:kern w:val="22"/>
          <w:lang w:val="fr-FR"/>
        </w:rPr>
        <w:t xml:space="preserve"> pour</w:t>
      </w:r>
      <w:r w:rsidR="00A137D5">
        <w:rPr>
          <w:kern w:val="22"/>
          <w:lang w:val="fr-FR"/>
        </w:rPr>
        <w:t xml:space="preserve"> </w:t>
      </w:r>
      <w:r w:rsidR="00A5330A">
        <w:rPr>
          <w:kern w:val="22"/>
          <w:lang w:val="fr-FR"/>
        </w:rPr>
        <w:t xml:space="preserve">cent </w:t>
      </w:r>
      <w:r w:rsidR="003B1E8F" w:rsidRPr="005B4EF3">
        <w:rPr>
          <w:kern w:val="22"/>
          <w:lang w:val="fr-FR"/>
        </w:rPr>
        <w:t>et 54,3</w:t>
      </w:r>
      <w:r w:rsidR="00A5330A">
        <w:rPr>
          <w:kern w:val="22"/>
          <w:lang w:val="fr-FR"/>
        </w:rPr>
        <w:t>1 pour</w:t>
      </w:r>
      <w:r w:rsidR="00A137D5">
        <w:rPr>
          <w:kern w:val="22"/>
          <w:lang w:val="fr-FR"/>
        </w:rPr>
        <w:t xml:space="preserve"> </w:t>
      </w:r>
      <w:r w:rsidR="00A5330A">
        <w:rPr>
          <w:kern w:val="22"/>
          <w:lang w:val="fr-FR"/>
        </w:rPr>
        <w:t>cent,</w:t>
      </w:r>
      <w:r w:rsidR="003B1E8F" w:rsidRPr="005B4EF3">
        <w:rPr>
          <w:kern w:val="22"/>
          <w:lang w:val="fr-FR"/>
        </w:rPr>
        <w:t xml:space="preserve"> ce qui donne un taux de collecte global pour l'exercice biennal de 71,52</w:t>
      </w:r>
      <w:r w:rsidR="00A5330A">
        <w:rPr>
          <w:kern w:val="22"/>
          <w:lang w:val="fr-FR"/>
        </w:rPr>
        <w:t xml:space="preserve"> pour</w:t>
      </w:r>
      <w:r w:rsidR="00A137D5">
        <w:rPr>
          <w:kern w:val="22"/>
          <w:lang w:val="fr-FR"/>
        </w:rPr>
        <w:t xml:space="preserve"> </w:t>
      </w:r>
      <w:r w:rsidR="00A5330A">
        <w:rPr>
          <w:kern w:val="22"/>
          <w:lang w:val="fr-FR"/>
        </w:rPr>
        <w:t xml:space="preserve">cent. </w:t>
      </w:r>
      <w:r w:rsidR="003B1E8F" w:rsidRPr="005B4EF3">
        <w:rPr>
          <w:kern w:val="22"/>
          <w:lang w:val="fr-FR"/>
        </w:rPr>
        <w:t xml:space="preserve">Les paiements des contributions </w:t>
      </w:r>
      <w:r w:rsidR="00B51874">
        <w:rPr>
          <w:kern w:val="22"/>
          <w:lang w:val="fr-FR"/>
        </w:rPr>
        <w:t>évaluées</w:t>
      </w:r>
      <w:r w:rsidR="003B1E8F" w:rsidRPr="005B4EF3">
        <w:rPr>
          <w:kern w:val="22"/>
          <w:lang w:val="fr-FR"/>
        </w:rPr>
        <w:t xml:space="preserve"> pour 2020 sont plus lents que d'habitude, ce qui est probablement dû à diverses causes liées à la pandémie de C</w:t>
      </w:r>
      <w:r w:rsidR="00A5330A">
        <w:rPr>
          <w:kern w:val="22"/>
          <w:lang w:val="fr-FR"/>
        </w:rPr>
        <w:t>OVID</w:t>
      </w:r>
      <w:r w:rsidR="000660D0">
        <w:rPr>
          <w:kern w:val="22"/>
          <w:lang w:val="fr-FR"/>
        </w:rPr>
        <w:t>-</w:t>
      </w:r>
      <w:r w:rsidR="003B1E8F" w:rsidRPr="005B4EF3">
        <w:rPr>
          <w:kern w:val="22"/>
          <w:lang w:val="fr-FR"/>
        </w:rPr>
        <w:t>19.</w:t>
      </w:r>
      <w:r w:rsidR="00E70725" w:rsidRPr="006E23F0">
        <w:rPr>
          <w:kern w:val="22"/>
          <w:lang w:val="fr-CA"/>
        </w:rPr>
        <w:t xml:space="preserve"> </w:t>
      </w:r>
      <w:bookmarkEnd w:id="1"/>
    </w:p>
    <w:p w14:paraId="327D21E0" w14:textId="548CED1D" w:rsidR="0020601B" w:rsidRDefault="00900FA8" w:rsidP="0020601B">
      <w:pPr>
        <w:pStyle w:val="Style1"/>
        <w:jc w:val="both"/>
        <w:rPr>
          <w:i w:val="0"/>
          <w:color w:val="000000" w:themeColor="text1"/>
          <w:kern w:val="22"/>
          <w:lang w:val="fr-FR" w:eastAsia="en-CA"/>
        </w:rPr>
      </w:pPr>
      <w:r w:rsidRPr="0020601B">
        <w:rPr>
          <w:i w:val="0"/>
          <w:color w:val="000000" w:themeColor="text1"/>
          <w:kern w:val="22"/>
          <w:lang w:val="fr-FR" w:eastAsia="en-CA"/>
        </w:rPr>
        <w:lastRenderedPageBreak/>
        <w:t>Tableau 1</w:t>
      </w:r>
    </w:p>
    <w:p w14:paraId="19C44DB8" w14:textId="6E1339E4" w:rsidR="00FC562D" w:rsidRDefault="00900FA8" w:rsidP="0020601B">
      <w:pPr>
        <w:pStyle w:val="Style1"/>
        <w:jc w:val="both"/>
        <w:rPr>
          <w:i w:val="0"/>
          <w:color w:val="000000" w:themeColor="text1"/>
          <w:kern w:val="22"/>
          <w:lang w:val="fr-FR" w:eastAsia="en-CA"/>
        </w:rPr>
      </w:pPr>
      <w:r w:rsidRPr="0020601B">
        <w:rPr>
          <w:i w:val="0"/>
          <w:color w:val="000000" w:themeColor="text1"/>
          <w:kern w:val="22"/>
          <w:lang w:val="fr-FR" w:eastAsia="en-CA"/>
        </w:rPr>
        <w:t>Statut global des contributions</w:t>
      </w:r>
      <w:r w:rsidR="00B51874" w:rsidRPr="0020601B">
        <w:rPr>
          <w:i w:val="0"/>
          <w:color w:val="000000" w:themeColor="text1"/>
          <w:kern w:val="22"/>
          <w:lang w:val="fr-FR" w:eastAsia="en-CA"/>
        </w:rPr>
        <w:t xml:space="preserve"> évaluées</w:t>
      </w:r>
      <w:r w:rsidRPr="0020601B">
        <w:rPr>
          <w:i w:val="0"/>
          <w:color w:val="000000" w:themeColor="text1"/>
          <w:kern w:val="22"/>
          <w:lang w:val="fr-FR" w:eastAsia="en-CA"/>
        </w:rPr>
        <w:t xml:space="preserve"> pour l'exercice biennal 2019-2020</w:t>
      </w:r>
    </w:p>
    <w:p w14:paraId="00173E32" w14:textId="49333CBD" w:rsidR="0020601B" w:rsidRPr="0020601B" w:rsidRDefault="0020601B" w:rsidP="0020601B">
      <w:pPr>
        <w:pStyle w:val="Style1"/>
        <w:jc w:val="both"/>
        <w:rPr>
          <w:b w:val="0"/>
          <w:bCs w:val="0"/>
          <w:iCs w:val="0"/>
          <w:color w:val="000000" w:themeColor="text1"/>
          <w:kern w:val="22"/>
          <w:u w:val="single"/>
          <w:lang w:val="fr-FR" w:eastAsia="en-CA"/>
        </w:rPr>
      </w:pPr>
      <w:r w:rsidRPr="00AC25E0">
        <w:rPr>
          <w:b w:val="0"/>
          <w:bCs w:val="0"/>
          <w:iCs w:val="0"/>
          <w:color w:val="000000" w:themeColor="text1"/>
          <w:kern w:val="22"/>
          <w:lang w:val="fr-FR" w:eastAsia="en-CA"/>
        </w:rPr>
        <w:t>(</w:t>
      </w:r>
      <w:r w:rsidRPr="004C58BD">
        <w:rPr>
          <w:b w:val="0"/>
          <w:bCs w:val="0"/>
          <w:iCs w:val="0"/>
          <w:color w:val="000000" w:themeColor="text1"/>
          <w:kern w:val="22"/>
          <w:lang w:val="fr-FR" w:eastAsia="en-CA"/>
        </w:rPr>
        <w:t>En milliers de dollars américains</w:t>
      </w:r>
      <w:r w:rsidRPr="00AC25E0">
        <w:rPr>
          <w:b w:val="0"/>
          <w:bCs w:val="0"/>
          <w:iCs w:val="0"/>
          <w:color w:val="000000" w:themeColor="text1"/>
          <w:kern w:val="22"/>
          <w:lang w:val="fr-FR" w:eastAsia="en-CA"/>
        </w:rPr>
        <w:t>)</w:t>
      </w:r>
    </w:p>
    <w:tbl>
      <w:tblPr>
        <w:tblW w:w="9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3"/>
        <w:gridCol w:w="4180"/>
      </w:tblGrid>
      <w:tr w:rsidR="00FC562D" w:rsidRPr="000322A9" w14:paraId="532B5FAF" w14:textId="77777777" w:rsidTr="0020601B">
        <w:trPr>
          <w:trHeight w:val="869"/>
          <w:jc w:val="center"/>
        </w:trPr>
        <w:tc>
          <w:tcPr>
            <w:tcW w:w="5193" w:type="dxa"/>
            <w:shd w:val="clear" w:color="auto" w:fill="auto"/>
            <w:vAlign w:val="center"/>
            <w:hideMark/>
          </w:tcPr>
          <w:p w14:paraId="1AE647F0" w14:textId="1DA2DE38" w:rsidR="00FC562D" w:rsidRPr="006E23F0" w:rsidRDefault="0020601B" w:rsidP="0020601B">
            <w:pPr>
              <w:jc w:val="center"/>
              <w:rPr>
                <w:rFonts w:ascii="Calibri" w:hAnsi="Calibri" w:cs="Calibri"/>
                <w:color w:val="000000"/>
                <w:kern w:val="22"/>
                <w:szCs w:val="22"/>
                <w:lang w:val="fr-FR" w:eastAsia="en-CA"/>
              </w:rPr>
            </w:pPr>
            <w:r w:rsidRPr="006E23F0">
              <w:rPr>
                <w:i/>
                <w:iCs/>
                <w:color w:val="000000"/>
                <w:kern w:val="22"/>
                <w:szCs w:val="22"/>
                <w:lang w:val="fr-FR" w:eastAsia="en-CA"/>
              </w:rPr>
              <w:t>Source de financement</w:t>
            </w:r>
          </w:p>
        </w:tc>
        <w:tc>
          <w:tcPr>
            <w:tcW w:w="4180" w:type="dxa"/>
            <w:shd w:val="clear" w:color="auto" w:fill="auto"/>
            <w:vAlign w:val="center"/>
            <w:hideMark/>
          </w:tcPr>
          <w:p w14:paraId="0F628F97" w14:textId="5B861C62" w:rsidR="00FC562D" w:rsidRPr="006E23F0" w:rsidRDefault="0078391A" w:rsidP="0099470B">
            <w:pPr>
              <w:jc w:val="center"/>
              <w:rPr>
                <w:i/>
                <w:iCs/>
                <w:color w:val="000000"/>
                <w:kern w:val="22"/>
                <w:szCs w:val="22"/>
                <w:lang w:val="fr-FR" w:eastAsia="en-CA"/>
              </w:rPr>
            </w:pPr>
            <w:r w:rsidRPr="006E23F0">
              <w:rPr>
                <w:i/>
                <w:iCs/>
                <w:color w:val="000000"/>
                <w:kern w:val="22"/>
                <w:szCs w:val="22"/>
                <w:lang w:val="fr-FR" w:eastAsia="en-CA"/>
              </w:rPr>
              <w:t xml:space="preserve">Ressources </w:t>
            </w:r>
          </w:p>
        </w:tc>
      </w:tr>
      <w:tr w:rsidR="00FC562D" w:rsidRPr="000322A9" w14:paraId="48783A56" w14:textId="77777777" w:rsidTr="00FC562D">
        <w:trPr>
          <w:cantSplit/>
          <w:trHeight w:val="330"/>
          <w:jc w:val="center"/>
        </w:trPr>
        <w:tc>
          <w:tcPr>
            <w:tcW w:w="5193" w:type="dxa"/>
            <w:shd w:val="clear" w:color="auto" w:fill="auto"/>
            <w:vAlign w:val="center"/>
            <w:hideMark/>
          </w:tcPr>
          <w:p w14:paraId="1D331A98" w14:textId="2120BB24" w:rsidR="00FC562D" w:rsidRPr="006E23F0" w:rsidRDefault="007E0680" w:rsidP="0099470B">
            <w:pPr>
              <w:rPr>
                <w:color w:val="000000"/>
                <w:kern w:val="22"/>
                <w:szCs w:val="22"/>
                <w:lang w:val="fr-FR" w:eastAsia="en-CA"/>
              </w:rPr>
            </w:pPr>
            <w:r w:rsidRPr="006E23F0">
              <w:rPr>
                <w:color w:val="000000"/>
                <w:kern w:val="22"/>
                <w:szCs w:val="22"/>
                <w:lang w:val="fr-FR" w:eastAsia="en-CA"/>
              </w:rPr>
              <w:t>Budget approuvé</w:t>
            </w:r>
          </w:p>
        </w:tc>
        <w:tc>
          <w:tcPr>
            <w:tcW w:w="4180" w:type="dxa"/>
            <w:shd w:val="clear" w:color="auto" w:fill="auto"/>
            <w:vAlign w:val="center"/>
            <w:hideMark/>
          </w:tcPr>
          <w:p w14:paraId="4C8FECB2" w14:textId="77777777" w:rsidR="00FC562D" w:rsidRPr="006E23F0" w:rsidRDefault="00FC562D" w:rsidP="0099470B">
            <w:pPr>
              <w:jc w:val="center"/>
              <w:rPr>
                <w:color w:val="000000"/>
                <w:kern w:val="22"/>
                <w:szCs w:val="22"/>
                <w:lang w:eastAsia="en-CA"/>
              </w:rPr>
            </w:pPr>
            <w:r w:rsidRPr="006E23F0">
              <w:rPr>
                <w:color w:val="000000"/>
                <w:kern w:val="22"/>
                <w:szCs w:val="22"/>
                <w:lang w:eastAsia="en-CA"/>
              </w:rPr>
              <w:t xml:space="preserve">38,844.1 </w:t>
            </w:r>
          </w:p>
        </w:tc>
      </w:tr>
      <w:tr w:rsidR="00FC562D" w:rsidRPr="000322A9" w14:paraId="29502A05" w14:textId="77777777" w:rsidTr="00FC562D">
        <w:trPr>
          <w:cantSplit/>
          <w:trHeight w:val="315"/>
          <w:jc w:val="center"/>
        </w:trPr>
        <w:tc>
          <w:tcPr>
            <w:tcW w:w="5193" w:type="dxa"/>
            <w:shd w:val="clear" w:color="auto" w:fill="auto"/>
            <w:vAlign w:val="center"/>
            <w:hideMark/>
          </w:tcPr>
          <w:p w14:paraId="4762CEA2" w14:textId="09623D1D" w:rsidR="00FC562D" w:rsidRPr="006E23F0" w:rsidRDefault="007E0680" w:rsidP="0099470B">
            <w:pPr>
              <w:rPr>
                <w:color w:val="000000"/>
                <w:kern w:val="22"/>
                <w:szCs w:val="22"/>
                <w:lang w:val="fr-FR" w:eastAsia="en-CA"/>
              </w:rPr>
            </w:pPr>
            <w:r w:rsidRPr="006E23F0">
              <w:rPr>
                <w:color w:val="000000"/>
                <w:kern w:val="22"/>
                <w:szCs w:val="22"/>
                <w:lang w:val="fr-FR" w:eastAsia="en-CA"/>
              </w:rPr>
              <w:t xml:space="preserve">Pays </w:t>
            </w:r>
            <w:r w:rsidR="0042616E" w:rsidRPr="006E23F0">
              <w:rPr>
                <w:color w:val="000000"/>
                <w:kern w:val="22"/>
                <w:szCs w:val="22"/>
                <w:lang w:val="fr-FR" w:eastAsia="en-CA"/>
              </w:rPr>
              <w:t>hôte</w:t>
            </w:r>
          </w:p>
        </w:tc>
        <w:tc>
          <w:tcPr>
            <w:tcW w:w="4180" w:type="dxa"/>
            <w:shd w:val="clear" w:color="auto" w:fill="auto"/>
            <w:vAlign w:val="center"/>
            <w:hideMark/>
          </w:tcPr>
          <w:p w14:paraId="349DEB14" w14:textId="77777777" w:rsidR="00FC562D" w:rsidRPr="006E23F0" w:rsidRDefault="00FC562D" w:rsidP="0099470B">
            <w:pPr>
              <w:jc w:val="center"/>
              <w:rPr>
                <w:color w:val="000000"/>
                <w:kern w:val="22"/>
                <w:szCs w:val="22"/>
                <w:lang w:eastAsia="en-CA"/>
              </w:rPr>
            </w:pPr>
            <w:r w:rsidRPr="006E23F0">
              <w:rPr>
                <w:color w:val="000000"/>
                <w:kern w:val="22"/>
                <w:szCs w:val="22"/>
                <w:lang w:eastAsia="en-CA"/>
              </w:rPr>
              <w:t xml:space="preserve">-2,652.8 </w:t>
            </w:r>
          </w:p>
        </w:tc>
      </w:tr>
      <w:tr w:rsidR="00FC562D" w:rsidRPr="000322A9" w14:paraId="66C98601" w14:textId="77777777" w:rsidTr="00FC562D">
        <w:trPr>
          <w:cantSplit/>
          <w:trHeight w:val="315"/>
          <w:jc w:val="center"/>
        </w:trPr>
        <w:tc>
          <w:tcPr>
            <w:tcW w:w="5193" w:type="dxa"/>
            <w:shd w:val="clear" w:color="auto" w:fill="auto"/>
            <w:vAlign w:val="center"/>
            <w:hideMark/>
          </w:tcPr>
          <w:p w14:paraId="0368CDCC" w14:textId="32C62A6C" w:rsidR="00FC562D" w:rsidRPr="006E23F0" w:rsidRDefault="0078391A" w:rsidP="0099470B">
            <w:pPr>
              <w:rPr>
                <w:color w:val="000000"/>
                <w:kern w:val="22"/>
                <w:szCs w:val="22"/>
                <w:lang w:val="fr-FR" w:eastAsia="en-CA"/>
              </w:rPr>
            </w:pPr>
            <w:r w:rsidRPr="006E23F0">
              <w:rPr>
                <w:color w:val="000000"/>
                <w:kern w:val="22"/>
                <w:szCs w:val="22"/>
                <w:lang w:val="fr-FR" w:eastAsia="en-CA"/>
              </w:rPr>
              <w:t>Économies par rapport à l'année précédente</w:t>
            </w:r>
          </w:p>
        </w:tc>
        <w:tc>
          <w:tcPr>
            <w:tcW w:w="4180" w:type="dxa"/>
            <w:shd w:val="clear" w:color="auto" w:fill="auto"/>
            <w:vAlign w:val="center"/>
            <w:hideMark/>
          </w:tcPr>
          <w:p w14:paraId="66ABC5A0" w14:textId="77777777" w:rsidR="00FC562D" w:rsidRPr="006E23F0" w:rsidRDefault="00FC562D" w:rsidP="0099470B">
            <w:pPr>
              <w:jc w:val="center"/>
              <w:rPr>
                <w:color w:val="000000"/>
                <w:kern w:val="22"/>
                <w:szCs w:val="22"/>
                <w:lang w:eastAsia="en-CA"/>
              </w:rPr>
            </w:pPr>
            <w:r w:rsidRPr="006E23F0">
              <w:rPr>
                <w:color w:val="000000"/>
                <w:kern w:val="22"/>
                <w:szCs w:val="22"/>
                <w:lang w:eastAsia="en-CA"/>
              </w:rPr>
              <w:t xml:space="preserve">-3,206.6 </w:t>
            </w:r>
          </w:p>
        </w:tc>
      </w:tr>
      <w:tr w:rsidR="00FC562D" w:rsidRPr="000322A9" w14:paraId="290855D9" w14:textId="77777777" w:rsidTr="00FC562D">
        <w:trPr>
          <w:cantSplit/>
          <w:trHeight w:val="330"/>
          <w:jc w:val="center"/>
        </w:trPr>
        <w:tc>
          <w:tcPr>
            <w:tcW w:w="5193" w:type="dxa"/>
            <w:shd w:val="clear" w:color="auto" w:fill="auto"/>
            <w:vAlign w:val="center"/>
            <w:hideMark/>
          </w:tcPr>
          <w:p w14:paraId="5C26D05E" w14:textId="734AB9A5" w:rsidR="00FC562D" w:rsidRPr="006E23F0" w:rsidRDefault="007E0680" w:rsidP="0099470B">
            <w:pPr>
              <w:rPr>
                <w:color w:val="000000"/>
                <w:kern w:val="22"/>
                <w:szCs w:val="22"/>
                <w:lang w:val="fr-FR" w:eastAsia="en-CA"/>
              </w:rPr>
            </w:pPr>
            <w:r w:rsidRPr="006E23F0">
              <w:rPr>
                <w:color w:val="000000"/>
                <w:kern w:val="22"/>
                <w:szCs w:val="22"/>
                <w:lang w:val="fr-FR" w:eastAsia="en-CA"/>
              </w:rPr>
              <w:t>Parties supplémentaires à la Convention</w:t>
            </w:r>
          </w:p>
        </w:tc>
        <w:tc>
          <w:tcPr>
            <w:tcW w:w="4180" w:type="dxa"/>
            <w:shd w:val="clear" w:color="auto" w:fill="auto"/>
            <w:vAlign w:val="center"/>
            <w:hideMark/>
          </w:tcPr>
          <w:p w14:paraId="58149797" w14:textId="77777777" w:rsidR="00FC562D" w:rsidRPr="006E23F0" w:rsidRDefault="00FC562D" w:rsidP="0099470B">
            <w:pPr>
              <w:jc w:val="center"/>
              <w:rPr>
                <w:color w:val="000000"/>
                <w:kern w:val="22"/>
                <w:szCs w:val="22"/>
                <w:lang w:eastAsia="en-CA"/>
              </w:rPr>
            </w:pPr>
            <w:r w:rsidRPr="006E23F0">
              <w:rPr>
                <w:color w:val="000000"/>
                <w:kern w:val="22"/>
                <w:szCs w:val="22"/>
                <w:lang w:eastAsia="en-CA"/>
              </w:rPr>
              <w:t xml:space="preserve">90.2 </w:t>
            </w:r>
          </w:p>
        </w:tc>
      </w:tr>
      <w:tr w:rsidR="00FC562D" w:rsidRPr="000322A9" w14:paraId="2698987C" w14:textId="77777777" w:rsidTr="00FC562D">
        <w:trPr>
          <w:cantSplit/>
          <w:trHeight w:val="330"/>
          <w:jc w:val="center"/>
        </w:trPr>
        <w:tc>
          <w:tcPr>
            <w:tcW w:w="5193" w:type="dxa"/>
            <w:shd w:val="clear" w:color="auto" w:fill="auto"/>
            <w:vAlign w:val="center"/>
            <w:hideMark/>
          </w:tcPr>
          <w:p w14:paraId="3FD21F14" w14:textId="750D64CD" w:rsidR="00FC562D" w:rsidRPr="006E23F0" w:rsidRDefault="0078391A" w:rsidP="0099470B">
            <w:pPr>
              <w:rPr>
                <w:b/>
                <w:bCs/>
                <w:color w:val="000000"/>
                <w:kern w:val="22"/>
                <w:szCs w:val="22"/>
                <w:lang w:val="fr-FR" w:eastAsia="en-CA"/>
              </w:rPr>
            </w:pPr>
            <w:r w:rsidRPr="006E23F0">
              <w:rPr>
                <w:b/>
                <w:bCs/>
                <w:color w:val="000000"/>
                <w:kern w:val="22"/>
                <w:szCs w:val="22"/>
                <w:lang w:val="fr-FR" w:eastAsia="en-CA"/>
              </w:rPr>
              <w:t>Total des évaluations</w:t>
            </w:r>
          </w:p>
        </w:tc>
        <w:tc>
          <w:tcPr>
            <w:tcW w:w="4180" w:type="dxa"/>
            <w:shd w:val="clear" w:color="auto" w:fill="auto"/>
            <w:vAlign w:val="center"/>
            <w:hideMark/>
          </w:tcPr>
          <w:p w14:paraId="7AFF1369" w14:textId="77777777" w:rsidR="00FC562D" w:rsidRPr="006E23F0" w:rsidRDefault="00FC562D" w:rsidP="0099470B">
            <w:pPr>
              <w:jc w:val="center"/>
              <w:rPr>
                <w:b/>
                <w:bCs/>
                <w:color w:val="000000"/>
                <w:kern w:val="22"/>
                <w:szCs w:val="22"/>
                <w:lang w:eastAsia="en-CA"/>
              </w:rPr>
            </w:pPr>
            <w:r w:rsidRPr="006E23F0">
              <w:rPr>
                <w:b/>
                <w:bCs/>
                <w:color w:val="000000"/>
                <w:kern w:val="22"/>
                <w:szCs w:val="22"/>
                <w:lang w:eastAsia="en-CA"/>
              </w:rPr>
              <w:t>33,074.9</w:t>
            </w:r>
          </w:p>
        </w:tc>
      </w:tr>
      <w:tr w:rsidR="00FC562D" w:rsidRPr="000322A9" w14:paraId="23745AB8" w14:textId="77777777" w:rsidTr="00FC562D">
        <w:trPr>
          <w:cantSplit/>
          <w:trHeight w:val="330"/>
          <w:jc w:val="center"/>
        </w:trPr>
        <w:tc>
          <w:tcPr>
            <w:tcW w:w="5193" w:type="dxa"/>
            <w:shd w:val="clear" w:color="auto" w:fill="auto"/>
            <w:vAlign w:val="center"/>
            <w:hideMark/>
          </w:tcPr>
          <w:p w14:paraId="471E91E8" w14:textId="5C840AA8" w:rsidR="00FC562D" w:rsidRPr="006E23F0" w:rsidRDefault="0078391A" w:rsidP="0099470B">
            <w:pPr>
              <w:rPr>
                <w:color w:val="000000"/>
                <w:kern w:val="22"/>
                <w:szCs w:val="22"/>
                <w:lang w:val="fr-FR" w:eastAsia="en-CA"/>
              </w:rPr>
            </w:pPr>
            <w:r w:rsidRPr="006E23F0">
              <w:rPr>
                <w:color w:val="000000"/>
                <w:kern w:val="22"/>
                <w:szCs w:val="22"/>
                <w:lang w:val="fr-FR" w:eastAsia="en-CA"/>
              </w:rPr>
              <w:t xml:space="preserve">Montant reçu au </w:t>
            </w:r>
            <w:r w:rsidR="0020601B" w:rsidRPr="006E23F0">
              <w:rPr>
                <w:color w:val="000000"/>
                <w:kern w:val="22"/>
                <w:szCs w:val="22"/>
                <w:lang w:val="fr-FR" w:eastAsia="en-CA"/>
              </w:rPr>
              <w:t>31 aoû</w:t>
            </w:r>
            <w:r w:rsidRPr="006E23F0">
              <w:rPr>
                <w:color w:val="000000"/>
                <w:kern w:val="22"/>
                <w:szCs w:val="22"/>
                <w:lang w:val="fr-FR" w:eastAsia="en-CA"/>
              </w:rPr>
              <w:t>t 2020</w:t>
            </w:r>
          </w:p>
        </w:tc>
        <w:tc>
          <w:tcPr>
            <w:tcW w:w="4180" w:type="dxa"/>
            <w:shd w:val="clear" w:color="auto" w:fill="auto"/>
            <w:vAlign w:val="center"/>
            <w:hideMark/>
          </w:tcPr>
          <w:p w14:paraId="7AD04858" w14:textId="1A4BF42B" w:rsidR="00FC562D" w:rsidRPr="006E23F0" w:rsidRDefault="0076581C" w:rsidP="0099470B">
            <w:pPr>
              <w:jc w:val="center"/>
              <w:rPr>
                <w:color w:val="000000"/>
                <w:kern w:val="22"/>
                <w:szCs w:val="22"/>
                <w:lang w:eastAsia="en-CA"/>
              </w:rPr>
            </w:pPr>
            <w:r w:rsidRPr="006E23F0">
              <w:rPr>
                <w:color w:val="000000"/>
                <w:kern w:val="22"/>
                <w:szCs w:val="22"/>
                <w:lang w:eastAsia="en-CA"/>
              </w:rPr>
              <w:t>23,654.3</w:t>
            </w:r>
          </w:p>
        </w:tc>
      </w:tr>
      <w:tr w:rsidR="00FC562D" w:rsidRPr="000322A9" w14:paraId="0702653F" w14:textId="77777777" w:rsidTr="00FC562D">
        <w:trPr>
          <w:cantSplit/>
          <w:trHeight w:val="330"/>
          <w:jc w:val="center"/>
        </w:trPr>
        <w:tc>
          <w:tcPr>
            <w:tcW w:w="5193" w:type="dxa"/>
            <w:shd w:val="clear" w:color="auto" w:fill="auto"/>
            <w:vAlign w:val="center"/>
            <w:hideMark/>
          </w:tcPr>
          <w:p w14:paraId="41C91D56" w14:textId="56AB894F" w:rsidR="00FC562D" w:rsidRPr="006E23F0" w:rsidRDefault="0078391A" w:rsidP="0099470B">
            <w:pPr>
              <w:rPr>
                <w:b/>
                <w:bCs/>
                <w:color w:val="000000"/>
                <w:kern w:val="22"/>
                <w:szCs w:val="22"/>
                <w:lang w:val="fr-FR" w:eastAsia="en-CA"/>
              </w:rPr>
            </w:pPr>
            <w:r w:rsidRPr="006E23F0">
              <w:rPr>
                <w:b/>
                <w:bCs/>
                <w:color w:val="000000"/>
                <w:kern w:val="22"/>
                <w:szCs w:val="22"/>
                <w:lang w:val="fr-FR" w:eastAsia="en-CA"/>
              </w:rPr>
              <w:t>Solde impayé</w:t>
            </w:r>
          </w:p>
        </w:tc>
        <w:tc>
          <w:tcPr>
            <w:tcW w:w="4180" w:type="dxa"/>
            <w:shd w:val="clear" w:color="auto" w:fill="auto"/>
            <w:vAlign w:val="center"/>
            <w:hideMark/>
          </w:tcPr>
          <w:p w14:paraId="5B773393" w14:textId="10DE8C81" w:rsidR="00FC562D" w:rsidRPr="006E23F0" w:rsidRDefault="0076581C" w:rsidP="0099470B">
            <w:pPr>
              <w:jc w:val="center"/>
              <w:rPr>
                <w:b/>
                <w:bCs/>
                <w:color w:val="000000"/>
                <w:kern w:val="22"/>
                <w:szCs w:val="22"/>
                <w:lang w:eastAsia="en-CA"/>
              </w:rPr>
            </w:pPr>
            <w:r w:rsidRPr="006E23F0">
              <w:rPr>
                <w:b/>
                <w:bCs/>
                <w:color w:val="000000"/>
                <w:kern w:val="22"/>
                <w:szCs w:val="22"/>
                <w:lang w:eastAsia="en-CA"/>
              </w:rPr>
              <w:t>9,420.6</w:t>
            </w:r>
          </w:p>
        </w:tc>
      </w:tr>
      <w:tr w:rsidR="00FC562D" w:rsidRPr="000322A9" w14:paraId="29D72CB4" w14:textId="77777777" w:rsidTr="00FC562D">
        <w:trPr>
          <w:cantSplit/>
          <w:trHeight w:val="330"/>
          <w:jc w:val="center"/>
        </w:trPr>
        <w:tc>
          <w:tcPr>
            <w:tcW w:w="5193" w:type="dxa"/>
            <w:shd w:val="clear" w:color="auto" w:fill="auto"/>
            <w:vAlign w:val="center"/>
            <w:hideMark/>
          </w:tcPr>
          <w:p w14:paraId="01F2E95F" w14:textId="6462FA2F" w:rsidR="00FC562D" w:rsidRPr="006E23F0" w:rsidRDefault="0078391A" w:rsidP="0099470B">
            <w:pPr>
              <w:rPr>
                <w:b/>
                <w:bCs/>
                <w:color w:val="000000"/>
                <w:kern w:val="22"/>
                <w:szCs w:val="22"/>
                <w:lang w:val="fr-FR" w:eastAsia="en-CA"/>
              </w:rPr>
            </w:pPr>
            <w:r w:rsidRPr="006E23F0">
              <w:rPr>
                <w:b/>
                <w:bCs/>
                <w:color w:val="000000"/>
                <w:kern w:val="22"/>
                <w:szCs w:val="22"/>
                <w:lang w:val="fr-FR" w:eastAsia="en-CA"/>
              </w:rPr>
              <w:t>Taux de collecte</w:t>
            </w:r>
          </w:p>
        </w:tc>
        <w:tc>
          <w:tcPr>
            <w:tcW w:w="4180" w:type="dxa"/>
            <w:shd w:val="clear" w:color="auto" w:fill="auto"/>
            <w:vAlign w:val="center"/>
            <w:hideMark/>
          </w:tcPr>
          <w:p w14:paraId="5EEF9FED" w14:textId="44C0D9B3" w:rsidR="00FC562D" w:rsidRPr="006E23F0" w:rsidRDefault="0076581C" w:rsidP="0099470B">
            <w:pPr>
              <w:jc w:val="center"/>
              <w:rPr>
                <w:b/>
                <w:bCs/>
                <w:color w:val="000000"/>
                <w:kern w:val="22"/>
                <w:szCs w:val="22"/>
                <w:lang w:eastAsia="en-CA"/>
              </w:rPr>
            </w:pPr>
            <w:r w:rsidRPr="006E23F0">
              <w:rPr>
                <w:b/>
                <w:bCs/>
                <w:color w:val="000000"/>
                <w:kern w:val="22"/>
                <w:szCs w:val="22"/>
                <w:lang w:eastAsia="en-CA"/>
              </w:rPr>
              <w:t>71.52</w:t>
            </w:r>
            <w:r w:rsidR="00FC562D" w:rsidRPr="006E23F0">
              <w:rPr>
                <w:b/>
                <w:bCs/>
                <w:color w:val="000000"/>
                <w:kern w:val="22"/>
                <w:szCs w:val="22"/>
                <w:lang w:eastAsia="en-CA"/>
              </w:rPr>
              <w:t>%</w:t>
            </w:r>
          </w:p>
        </w:tc>
      </w:tr>
    </w:tbl>
    <w:p w14:paraId="7BC2E435" w14:textId="77777777" w:rsidR="00FA149F" w:rsidRPr="009E7404" w:rsidRDefault="00FA149F" w:rsidP="007871E1">
      <w:pPr>
        <w:pStyle w:val="ListParagraph"/>
        <w:spacing w:before="120" w:after="120"/>
        <w:ind w:left="0"/>
        <w:contextualSpacing w:val="0"/>
        <w:rPr>
          <w:color w:val="FF0000"/>
          <w:kern w:val="22"/>
          <w:szCs w:val="22"/>
          <w:lang w:eastAsia="en-CA"/>
        </w:rPr>
      </w:pPr>
    </w:p>
    <w:p w14:paraId="5E385302" w14:textId="2C3C9F27" w:rsidR="004077CB" w:rsidRPr="003177BF" w:rsidRDefault="00607DB6" w:rsidP="003177BF">
      <w:pPr>
        <w:spacing w:before="120" w:after="120"/>
        <w:jc w:val="center"/>
        <w:rPr>
          <w:b/>
          <w:bCs/>
          <w:iCs/>
          <w:color w:val="000000" w:themeColor="text1"/>
          <w:kern w:val="22"/>
          <w:lang w:val="fr-FR"/>
        </w:rPr>
      </w:pPr>
      <w:r>
        <w:rPr>
          <w:rFonts w:eastAsia="Malgun Gothic"/>
          <w:b/>
          <w:bCs/>
          <w:iCs/>
          <w:color w:val="000000" w:themeColor="text1"/>
          <w:kern w:val="22"/>
          <w:szCs w:val="22"/>
          <w:lang w:val="fr-FR" w:eastAsia="x-none"/>
        </w:rPr>
        <w:t>B.</w:t>
      </w:r>
      <w:r>
        <w:rPr>
          <w:rFonts w:eastAsia="Malgun Gothic"/>
          <w:b/>
          <w:bCs/>
          <w:iCs/>
          <w:color w:val="000000" w:themeColor="text1"/>
          <w:kern w:val="22"/>
          <w:szCs w:val="22"/>
          <w:lang w:val="fr-FR" w:eastAsia="x-none"/>
        </w:rPr>
        <w:tab/>
      </w:r>
      <w:r w:rsidR="0078391A" w:rsidRPr="00607DB6">
        <w:rPr>
          <w:rFonts w:eastAsia="Malgun Gothic"/>
          <w:b/>
          <w:bCs/>
          <w:iCs/>
          <w:color w:val="000000" w:themeColor="text1"/>
          <w:kern w:val="22"/>
          <w:szCs w:val="22"/>
          <w:lang w:val="fr-FR" w:eastAsia="x-none"/>
        </w:rPr>
        <w:t>Exécution du budget</w:t>
      </w:r>
    </w:p>
    <w:p w14:paraId="3B680497" w14:textId="6BA47FC0" w:rsidR="009E7404" w:rsidRPr="008F0C73" w:rsidRDefault="00084E4F" w:rsidP="00084E4F">
      <w:pPr>
        <w:pStyle w:val="ListParagraph"/>
        <w:spacing w:before="120" w:after="120"/>
        <w:ind w:left="0"/>
        <w:contextualSpacing w:val="0"/>
        <w:rPr>
          <w:iCs/>
          <w:kern w:val="22"/>
          <w:lang w:val="fr-FR"/>
        </w:rPr>
      </w:pPr>
      <w:r>
        <w:rPr>
          <w:iCs/>
          <w:kern w:val="22"/>
          <w:lang w:val="fr-FR"/>
        </w:rPr>
        <w:t>8.</w:t>
      </w:r>
      <w:r>
        <w:rPr>
          <w:iCs/>
          <w:kern w:val="22"/>
          <w:lang w:val="fr-FR"/>
        </w:rPr>
        <w:tab/>
      </w:r>
      <w:r w:rsidR="009E7404" w:rsidRPr="008F0C73">
        <w:rPr>
          <w:iCs/>
          <w:kern w:val="22"/>
          <w:lang w:val="fr-FR"/>
        </w:rPr>
        <w:t xml:space="preserve">Comme le montre le tableau 2 ci-dessous (colonne 3), un montant total de 31 005 390 </w:t>
      </w:r>
      <w:r w:rsidR="00944E1F" w:rsidRPr="008F0C73">
        <w:rPr>
          <w:iCs/>
          <w:kern w:val="22"/>
          <w:lang w:val="fr-FR"/>
        </w:rPr>
        <w:t xml:space="preserve">dollars </w:t>
      </w:r>
      <w:r w:rsidR="00944E1F">
        <w:rPr>
          <w:iCs/>
          <w:kern w:val="22"/>
          <w:lang w:val="fr-FR"/>
        </w:rPr>
        <w:t>É.-U</w:t>
      </w:r>
      <w:r w:rsidR="00944E1F" w:rsidRPr="008F0C73">
        <w:rPr>
          <w:iCs/>
          <w:kern w:val="22"/>
          <w:lang w:val="fr-FR"/>
        </w:rPr>
        <w:t xml:space="preserve"> </w:t>
      </w:r>
      <w:r w:rsidR="009E7404" w:rsidRPr="008F0C73">
        <w:rPr>
          <w:iCs/>
          <w:kern w:val="22"/>
          <w:lang w:val="fr-FR"/>
        </w:rPr>
        <w:t xml:space="preserve">devrait être dépensé à la fin de l'exercice </w:t>
      </w:r>
      <w:r w:rsidR="0020601B">
        <w:rPr>
          <w:iCs/>
          <w:kern w:val="22"/>
          <w:lang w:val="fr-FR"/>
        </w:rPr>
        <w:t xml:space="preserve">biennal </w:t>
      </w:r>
      <w:r w:rsidR="009E7404" w:rsidRPr="008F0C73">
        <w:rPr>
          <w:iCs/>
          <w:kern w:val="22"/>
          <w:lang w:val="fr-FR"/>
        </w:rPr>
        <w:t>2019-2020</w:t>
      </w:r>
      <w:r w:rsidR="008B47C6">
        <w:rPr>
          <w:iCs/>
          <w:kern w:val="22"/>
          <w:lang w:val="fr-FR"/>
        </w:rPr>
        <w:t xml:space="preserve"> au </w:t>
      </w:r>
      <w:r w:rsidR="009E7404" w:rsidRPr="008F0C73">
        <w:rPr>
          <w:iCs/>
          <w:kern w:val="22"/>
          <w:lang w:val="fr-FR"/>
        </w:rPr>
        <w:t xml:space="preserve">31 décembre 2020. Les dépenses prévues pour la période 2019-2020 n'incluent pas les coûts des réunions de la </w:t>
      </w:r>
      <w:r w:rsidR="0020601B">
        <w:rPr>
          <w:iCs/>
          <w:kern w:val="22"/>
          <w:lang w:val="fr-FR"/>
        </w:rPr>
        <w:t>quinzième réunion de la Conférence des Parties, de la neuvième réunion des Parties au Protocole de Cartagena ni de la troisième réunion des Parties au Protocole de Nagoya</w:t>
      </w:r>
      <w:r w:rsidR="009E7404" w:rsidRPr="008F0C73">
        <w:rPr>
          <w:iCs/>
          <w:kern w:val="22"/>
          <w:lang w:val="fr-FR"/>
        </w:rPr>
        <w:t>, ni les coûts complets de</w:t>
      </w:r>
      <w:r w:rsidR="00CD2E01">
        <w:rPr>
          <w:iCs/>
          <w:kern w:val="22"/>
          <w:lang w:val="fr-FR"/>
        </w:rPr>
        <w:t xml:space="preserve"> la vingt</w:t>
      </w:r>
      <w:r w:rsidR="005A1680">
        <w:rPr>
          <w:iCs/>
          <w:kern w:val="22"/>
          <w:lang w:val="fr-FR"/>
        </w:rPr>
        <w:t>-</w:t>
      </w:r>
      <w:r w:rsidR="00CD2E01">
        <w:rPr>
          <w:iCs/>
          <w:kern w:val="22"/>
          <w:lang w:val="fr-FR"/>
        </w:rPr>
        <w:t xml:space="preserve">quatrième réunion de l’Organe subsidiaire chargé de fournir des avis scientifiques, techniques et technologiques et de la troisième réunion de l’Organe subsidiaire chargé de l’application, ainsi que </w:t>
      </w:r>
      <w:r w:rsidR="009E7404" w:rsidRPr="008F0C73">
        <w:rPr>
          <w:iCs/>
          <w:kern w:val="22"/>
          <w:lang w:val="fr-FR"/>
        </w:rPr>
        <w:t>de la troisième réunion du</w:t>
      </w:r>
      <w:r w:rsidR="00CD2E01">
        <w:rPr>
          <w:iCs/>
          <w:kern w:val="22"/>
          <w:lang w:val="fr-FR"/>
        </w:rPr>
        <w:t xml:space="preserve"> cadre mondial d</w:t>
      </w:r>
      <w:r w:rsidR="00CA1799">
        <w:rPr>
          <w:iCs/>
          <w:kern w:val="22"/>
          <w:lang w:val="fr-FR"/>
        </w:rPr>
        <w:t>e la biodiversité</w:t>
      </w:r>
      <w:r w:rsidR="00AC25E0">
        <w:rPr>
          <w:iCs/>
          <w:kern w:val="22"/>
          <w:lang w:val="fr-FR"/>
        </w:rPr>
        <w:t xml:space="preserve"> pour l’après-2020</w:t>
      </w:r>
      <w:r w:rsidR="00CD2E01">
        <w:rPr>
          <w:iCs/>
          <w:kern w:val="22"/>
          <w:lang w:val="fr-FR"/>
        </w:rPr>
        <w:t xml:space="preserve">, </w:t>
      </w:r>
      <w:r w:rsidR="009E7404" w:rsidRPr="008F0C73">
        <w:rPr>
          <w:iCs/>
          <w:kern w:val="22"/>
          <w:lang w:val="fr-FR"/>
        </w:rPr>
        <w:t xml:space="preserve">qui ont été reportés à 2021 en raison des contraintes liées à la pandémie COVID-19.  </w:t>
      </w:r>
    </w:p>
    <w:p w14:paraId="55C47C99" w14:textId="658E1BB1" w:rsidR="009E7404" w:rsidRPr="008F0C73" w:rsidRDefault="00084E4F" w:rsidP="00084E4F">
      <w:pPr>
        <w:pStyle w:val="ListParagraph"/>
        <w:spacing w:before="120" w:after="120"/>
        <w:ind w:left="0"/>
        <w:contextualSpacing w:val="0"/>
        <w:rPr>
          <w:iCs/>
          <w:kern w:val="22"/>
          <w:lang w:val="fr-FR"/>
        </w:rPr>
      </w:pPr>
      <w:r>
        <w:rPr>
          <w:iCs/>
          <w:kern w:val="22"/>
          <w:lang w:val="fr-FR"/>
        </w:rPr>
        <w:t>9.</w:t>
      </w:r>
      <w:r>
        <w:rPr>
          <w:iCs/>
          <w:kern w:val="22"/>
          <w:lang w:val="fr-FR"/>
        </w:rPr>
        <w:tab/>
      </w:r>
      <w:r w:rsidR="009E7404" w:rsidRPr="008F0C73">
        <w:rPr>
          <w:iCs/>
          <w:kern w:val="22"/>
          <w:lang w:val="fr-FR"/>
        </w:rPr>
        <w:t xml:space="preserve">Le tableau 2 reflète également les dépenses prévues en 2021 pour les réunions reprogrammées mentionnées ci-dessus. Une dépense totale estimée à 4.011.800 </w:t>
      </w:r>
      <w:r w:rsidR="00944E1F" w:rsidRPr="008F0C73">
        <w:rPr>
          <w:iCs/>
          <w:kern w:val="22"/>
          <w:lang w:val="fr-FR"/>
        </w:rPr>
        <w:t xml:space="preserve">dollars </w:t>
      </w:r>
      <w:r w:rsidR="00944E1F">
        <w:rPr>
          <w:iCs/>
          <w:kern w:val="22"/>
          <w:lang w:val="fr-FR"/>
        </w:rPr>
        <w:t>É.-U</w:t>
      </w:r>
      <w:r w:rsidR="00944E1F" w:rsidRPr="008F0C73">
        <w:rPr>
          <w:iCs/>
          <w:kern w:val="22"/>
          <w:lang w:val="fr-FR"/>
        </w:rPr>
        <w:t xml:space="preserve"> </w:t>
      </w:r>
      <w:r w:rsidR="009E7404" w:rsidRPr="008F0C73">
        <w:rPr>
          <w:iCs/>
          <w:kern w:val="22"/>
          <w:lang w:val="fr-FR"/>
        </w:rPr>
        <w:t>sera dépensée à la fin de la période budgétaire 2019-2020 qui se terminerait (sur approbation de la C</w:t>
      </w:r>
      <w:r w:rsidR="005A1680">
        <w:rPr>
          <w:iCs/>
          <w:kern w:val="22"/>
          <w:lang w:val="fr-FR"/>
        </w:rPr>
        <w:t>onférence des Parties et les réunions associées des Parties aux Protocoles</w:t>
      </w:r>
      <w:r w:rsidR="008B47C6">
        <w:rPr>
          <w:iCs/>
          <w:kern w:val="22"/>
          <w:lang w:val="fr-FR"/>
        </w:rPr>
        <w:t xml:space="preserve"> </w:t>
      </w:r>
      <w:r w:rsidR="005A1680">
        <w:rPr>
          <w:iCs/>
          <w:kern w:val="22"/>
          <w:lang w:val="fr-FR"/>
        </w:rPr>
        <w:t xml:space="preserve">lors de cette réunion </w:t>
      </w:r>
      <w:r w:rsidR="009E7404" w:rsidRPr="008F0C73">
        <w:rPr>
          <w:iCs/>
          <w:kern w:val="22"/>
          <w:lang w:val="fr-FR"/>
        </w:rPr>
        <w:t xml:space="preserve">extraordinaire) le 31 décembre 2021, laissant ainsi un montant final non dépensé de 3.639.600 </w:t>
      </w:r>
      <w:r w:rsidR="00944E1F" w:rsidRPr="008F0C73">
        <w:rPr>
          <w:iCs/>
          <w:kern w:val="22"/>
          <w:lang w:val="fr-FR"/>
        </w:rPr>
        <w:t xml:space="preserve">dollars </w:t>
      </w:r>
      <w:r w:rsidR="00944E1F">
        <w:rPr>
          <w:iCs/>
          <w:kern w:val="22"/>
          <w:lang w:val="fr-FR"/>
        </w:rPr>
        <w:t>É.-U</w:t>
      </w:r>
      <w:r w:rsidR="009E7404" w:rsidRPr="008F0C73">
        <w:rPr>
          <w:iCs/>
          <w:kern w:val="22"/>
          <w:lang w:val="fr-FR"/>
        </w:rPr>
        <w:t>.</w:t>
      </w:r>
    </w:p>
    <w:p w14:paraId="41E8BAA7" w14:textId="2D4E4526" w:rsidR="000641D7" w:rsidRPr="008F0C73" w:rsidRDefault="00084E4F" w:rsidP="00084E4F">
      <w:pPr>
        <w:pStyle w:val="ListParagraph"/>
        <w:spacing w:before="120" w:after="120"/>
        <w:ind w:left="0"/>
        <w:contextualSpacing w:val="0"/>
        <w:rPr>
          <w:iCs/>
          <w:kern w:val="22"/>
          <w:lang w:val="fr-FR"/>
        </w:rPr>
      </w:pPr>
      <w:r>
        <w:rPr>
          <w:iCs/>
          <w:kern w:val="22"/>
          <w:lang w:val="fr-FR"/>
        </w:rPr>
        <w:t>10.</w:t>
      </w:r>
      <w:r>
        <w:rPr>
          <w:iCs/>
          <w:kern w:val="22"/>
          <w:lang w:val="fr-FR"/>
        </w:rPr>
        <w:tab/>
      </w:r>
      <w:r w:rsidR="009E7404" w:rsidRPr="008F0C73">
        <w:rPr>
          <w:iCs/>
          <w:kern w:val="22"/>
          <w:lang w:val="fr-FR"/>
        </w:rPr>
        <w:t xml:space="preserve">Si les réunions </w:t>
      </w:r>
      <w:r w:rsidR="00FF64A7">
        <w:rPr>
          <w:iCs/>
          <w:kern w:val="22"/>
          <w:lang w:val="fr-FR"/>
        </w:rPr>
        <w:t>des deux organes subsidiaires</w:t>
      </w:r>
      <w:r w:rsidR="009E7404" w:rsidRPr="008F0C73">
        <w:rPr>
          <w:iCs/>
          <w:kern w:val="22"/>
          <w:lang w:val="fr-FR"/>
        </w:rPr>
        <w:t xml:space="preserve"> sont reportées, </w:t>
      </w:r>
      <w:r w:rsidR="00AC25E0">
        <w:rPr>
          <w:iCs/>
          <w:kern w:val="22"/>
          <w:lang w:val="fr-FR"/>
        </w:rPr>
        <w:t xml:space="preserve">à peu près </w:t>
      </w:r>
      <w:r w:rsidR="009E7404" w:rsidRPr="008F0C73">
        <w:rPr>
          <w:iCs/>
          <w:kern w:val="22"/>
          <w:lang w:val="fr-FR"/>
        </w:rPr>
        <w:t xml:space="preserve">278 500 dollars </w:t>
      </w:r>
      <w:r w:rsidR="00821A4E">
        <w:rPr>
          <w:iCs/>
          <w:kern w:val="22"/>
          <w:lang w:val="fr-FR"/>
        </w:rPr>
        <w:t>É.-U</w:t>
      </w:r>
      <w:r w:rsidR="009E7404" w:rsidRPr="008F0C73">
        <w:rPr>
          <w:iCs/>
          <w:kern w:val="22"/>
          <w:lang w:val="fr-FR"/>
        </w:rPr>
        <w:t xml:space="preserve"> seront toutefois </w:t>
      </w:r>
      <w:r w:rsidR="00FF48E3">
        <w:rPr>
          <w:iCs/>
          <w:kern w:val="22"/>
          <w:lang w:val="fr-FR"/>
        </w:rPr>
        <w:t>dépensés</w:t>
      </w:r>
      <w:r w:rsidR="009E7404" w:rsidRPr="008F0C73">
        <w:rPr>
          <w:iCs/>
          <w:kern w:val="22"/>
          <w:lang w:val="fr-FR"/>
        </w:rPr>
        <w:t xml:space="preserve"> en 2020 pour l'information virtuelle, les groupes préparatoires et régionaux et les réunions d'ouverture. Par conséquent, pour les besoins actuels, ces coûts sont inclus dans les dépenses prévues pour 2020. </w:t>
      </w:r>
      <w:r w:rsidR="00493EA9">
        <w:rPr>
          <w:iCs/>
          <w:kern w:val="22"/>
          <w:lang w:val="fr-FR"/>
        </w:rPr>
        <w:t>L</w:t>
      </w:r>
      <w:r w:rsidR="009E7404" w:rsidRPr="008F0C73">
        <w:rPr>
          <w:iCs/>
          <w:kern w:val="22"/>
          <w:lang w:val="fr-FR"/>
        </w:rPr>
        <w:t xml:space="preserve">e budget de 3 688 000 dollars </w:t>
      </w:r>
      <w:r w:rsidR="00821A4E">
        <w:rPr>
          <w:iCs/>
          <w:kern w:val="22"/>
          <w:lang w:val="fr-FR"/>
        </w:rPr>
        <w:t>É.-U</w:t>
      </w:r>
      <w:r w:rsidR="00821A4E" w:rsidRPr="008F0C73">
        <w:rPr>
          <w:iCs/>
          <w:kern w:val="22"/>
          <w:lang w:val="fr-FR"/>
        </w:rPr>
        <w:t xml:space="preserve"> </w:t>
      </w:r>
      <w:r w:rsidR="009E7404" w:rsidRPr="008F0C73">
        <w:rPr>
          <w:iCs/>
          <w:kern w:val="22"/>
          <w:lang w:val="fr-FR"/>
        </w:rPr>
        <w:t xml:space="preserve">prévu pour les réunions, tel qu'approuvé par la </w:t>
      </w:r>
      <w:r w:rsidR="00FF48E3">
        <w:rPr>
          <w:iCs/>
          <w:kern w:val="22"/>
          <w:lang w:val="fr-FR"/>
        </w:rPr>
        <w:t>Conférence des Parties lors de sa quatorzième réunion,</w:t>
      </w:r>
      <w:r w:rsidR="009E7404" w:rsidRPr="008F0C73">
        <w:rPr>
          <w:iCs/>
          <w:kern w:val="22"/>
          <w:lang w:val="fr-FR"/>
        </w:rPr>
        <w:t xml:space="preserve"> s'il est prolongé jusqu'en 2021, devrait être dépassé de 278 500 dollars</w:t>
      </w:r>
      <w:r w:rsidR="00821A4E" w:rsidRPr="00821A4E">
        <w:rPr>
          <w:iCs/>
          <w:kern w:val="22"/>
          <w:lang w:val="fr-FR"/>
        </w:rPr>
        <w:t xml:space="preserve"> </w:t>
      </w:r>
      <w:r w:rsidR="00821A4E">
        <w:rPr>
          <w:iCs/>
          <w:kern w:val="22"/>
          <w:lang w:val="fr-FR"/>
        </w:rPr>
        <w:t>É.-U</w:t>
      </w:r>
      <w:r w:rsidR="009E7404" w:rsidRPr="008F0C73">
        <w:rPr>
          <w:iCs/>
          <w:kern w:val="22"/>
          <w:lang w:val="fr-FR"/>
        </w:rPr>
        <w:t xml:space="preserve"> d'ici la fin de 2021, étant donné que ces coûts n'ont pas été prévus dans le budget 2019-2020 approuvé par la Conférence des Parties à sa quatorzième réunion. En outre, </w:t>
      </w:r>
      <w:r w:rsidR="009C15C5">
        <w:rPr>
          <w:iCs/>
          <w:kern w:val="22"/>
          <w:lang w:val="fr-FR"/>
        </w:rPr>
        <w:t>puisque la réunion extraordinaire de la Conférence des Par</w:t>
      </w:r>
      <w:r w:rsidR="00A137D5">
        <w:rPr>
          <w:iCs/>
          <w:kern w:val="22"/>
          <w:lang w:val="fr-FR"/>
        </w:rPr>
        <w:t>ti</w:t>
      </w:r>
      <w:r w:rsidR="009C15C5">
        <w:rPr>
          <w:iCs/>
          <w:kern w:val="22"/>
          <w:lang w:val="fr-FR"/>
        </w:rPr>
        <w:t xml:space="preserve">es doit être tenue virtuellement en novembre 2020, </w:t>
      </w:r>
      <w:r w:rsidR="009E7404" w:rsidRPr="008F0C73">
        <w:rPr>
          <w:iCs/>
          <w:kern w:val="22"/>
          <w:lang w:val="fr-FR"/>
        </w:rPr>
        <w:t>des coûts supplémentaires peuvent être encourus et imputés au budget des réunions</w:t>
      </w:r>
      <w:r w:rsidR="009C15C5">
        <w:rPr>
          <w:iCs/>
          <w:kern w:val="22"/>
          <w:lang w:val="fr-FR"/>
        </w:rPr>
        <w:t>.</w:t>
      </w:r>
    </w:p>
    <w:p w14:paraId="7BA9F353" w14:textId="77777777" w:rsidR="000641D7" w:rsidRPr="006E23F0" w:rsidRDefault="000641D7" w:rsidP="00BD5030">
      <w:pPr>
        <w:pStyle w:val="Style1"/>
        <w:spacing w:before="0" w:after="0"/>
        <w:jc w:val="both"/>
        <w:rPr>
          <w:color w:val="000000" w:themeColor="text1"/>
          <w:kern w:val="22"/>
          <w:lang w:val="fr-CA"/>
        </w:rPr>
      </w:pPr>
    </w:p>
    <w:p w14:paraId="26BF2A4A" w14:textId="77777777" w:rsidR="00FC562D" w:rsidRPr="006E23F0" w:rsidRDefault="00FC562D">
      <w:pPr>
        <w:spacing w:after="160" w:line="259" w:lineRule="auto"/>
        <w:rPr>
          <w:rFonts w:eastAsia="Malgun Gothic"/>
          <w:iCs/>
          <w:color w:val="000000" w:themeColor="text1"/>
          <w:kern w:val="22"/>
          <w:szCs w:val="22"/>
          <w:lang w:val="fr-CA" w:eastAsia="x-none"/>
        </w:rPr>
      </w:pPr>
      <w:r w:rsidRPr="006E23F0">
        <w:rPr>
          <w:rFonts w:eastAsia="Malgun Gothic"/>
          <w:iCs/>
          <w:color w:val="000000" w:themeColor="text1"/>
          <w:kern w:val="22"/>
          <w:szCs w:val="22"/>
          <w:lang w:val="fr-CA" w:eastAsia="x-none"/>
        </w:rPr>
        <w:br w:type="page"/>
      </w:r>
    </w:p>
    <w:p w14:paraId="2F336966" w14:textId="77777777" w:rsidR="00AC25E0" w:rsidRDefault="001F2F5B" w:rsidP="007871E1">
      <w:pPr>
        <w:pStyle w:val="ListParagraph"/>
        <w:spacing w:before="120" w:after="120"/>
        <w:ind w:left="0"/>
        <w:contextualSpacing w:val="0"/>
        <w:rPr>
          <w:b/>
          <w:iCs/>
          <w:snapToGrid w:val="0"/>
          <w:kern w:val="22"/>
          <w:szCs w:val="22"/>
          <w:lang w:val="fr-FR"/>
        </w:rPr>
      </w:pPr>
      <w:r w:rsidRPr="00201C10">
        <w:rPr>
          <w:b/>
          <w:iCs/>
          <w:snapToGrid w:val="0"/>
          <w:kern w:val="22"/>
          <w:szCs w:val="22"/>
          <w:lang w:val="fr-FR"/>
        </w:rPr>
        <w:lastRenderedPageBreak/>
        <w:t xml:space="preserve">Tableau 2 </w:t>
      </w:r>
    </w:p>
    <w:p w14:paraId="5F007346" w14:textId="49893141" w:rsidR="002B3874" w:rsidRDefault="001F2F5B" w:rsidP="007871E1">
      <w:pPr>
        <w:pStyle w:val="ListParagraph"/>
        <w:spacing w:before="120" w:after="120"/>
        <w:ind w:left="0"/>
        <w:contextualSpacing w:val="0"/>
        <w:rPr>
          <w:b/>
          <w:iCs/>
          <w:snapToGrid w:val="0"/>
          <w:kern w:val="22"/>
          <w:szCs w:val="22"/>
          <w:lang w:val="fr-FR"/>
        </w:rPr>
      </w:pPr>
      <w:r w:rsidRPr="00201C10">
        <w:rPr>
          <w:b/>
          <w:iCs/>
          <w:snapToGrid w:val="0"/>
          <w:kern w:val="22"/>
          <w:szCs w:val="22"/>
          <w:lang w:val="fr-FR"/>
        </w:rPr>
        <w:t>Projection des dépenses par objet de dépense relatif au budget intégré approuvé pour 2019-2020.</w:t>
      </w:r>
    </w:p>
    <w:p w14:paraId="60720F88" w14:textId="6F3A6ABD" w:rsidR="007C2974" w:rsidRPr="007C2974" w:rsidRDefault="007C2974" w:rsidP="007871E1">
      <w:pPr>
        <w:pStyle w:val="ListParagraph"/>
        <w:spacing w:before="120" w:after="120"/>
        <w:ind w:left="0"/>
        <w:contextualSpacing w:val="0"/>
        <w:rPr>
          <w:bCs/>
          <w:iCs/>
          <w:snapToGrid w:val="0"/>
          <w:kern w:val="22"/>
          <w:szCs w:val="22"/>
          <w:lang w:val="fr-FR"/>
        </w:rPr>
      </w:pPr>
      <w:r>
        <w:rPr>
          <w:bCs/>
          <w:iCs/>
          <w:snapToGrid w:val="0"/>
          <w:kern w:val="22"/>
          <w:szCs w:val="22"/>
          <w:lang w:val="fr-FR"/>
        </w:rPr>
        <w:t>(</w:t>
      </w:r>
      <w:r w:rsidRPr="004C58BD">
        <w:rPr>
          <w:bCs/>
          <w:i/>
          <w:snapToGrid w:val="0"/>
          <w:kern w:val="22"/>
          <w:szCs w:val="22"/>
          <w:lang w:val="fr-FR"/>
        </w:rPr>
        <w:t>Milli</w:t>
      </w:r>
      <w:r w:rsidR="0032135C" w:rsidRPr="004C58BD">
        <w:rPr>
          <w:bCs/>
          <w:i/>
          <w:snapToGrid w:val="0"/>
          <w:kern w:val="22"/>
          <w:szCs w:val="22"/>
          <w:lang w:val="fr-FR"/>
        </w:rPr>
        <w:t>er</w:t>
      </w:r>
      <w:r w:rsidRPr="004C58BD">
        <w:rPr>
          <w:bCs/>
          <w:i/>
          <w:snapToGrid w:val="0"/>
          <w:kern w:val="22"/>
          <w:szCs w:val="22"/>
          <w:lang w:val="fr-FR"/>
        </w:rPr>
        <w:t xml:space="preserve">s de dollars </w:t>
      </w:r>
      <w:r w:rsidR="00AF1DF2" w:rsidRPr="004C58BD">
        <w:rPr>
          <w:bCs/>
          <w:i/>
          <w:snapToGrid w:val="0"/>
          <w:kern w:val="22"/>
          <w:szCs w:val="22"/>
          <w:lang w:val="fr-FR"/>
        </w:rPr>
        <w:t>américains</w:t>
      </w:r>
      <w:r>
        <w:rPr>
          <w:bCs/>
          <w:iCs/>
          <w:snapToGrid w:val="0"/>
          <w:kern w:val="22"/>
          <w:szCs w:val="22"/>
          <w:lang w:val="fr-FR"/>
        </w:rPr>
        <w:t>)</w:t>
      </w:r>
    </w:p>
    <w:tbl>
      <w:tblPr>
        <w:tblW w:w="8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312"/>
        <w:gridCol w:w="1388"/>
        <w:gridCol w:w="1440"/>
        <w:gridCol w:w="1080"/>
      </w:tblGrid>
      <w:tr w:rsidR="002B3874" w:rsidRPr="006E23F0" w14:paraId="46629605" w14:textId="77777777" w:rsidTr="006E23F0">
        <w:trPr>
          <w:trHeight w:val="300"/>
          <w:jc w:val="center"/>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21AF9D" w14:textId="770F412C" w:rsidR="002B3874" w:rsidRPr="006E23F0" w:rsidRDefault="001F2F5B" w:rsidP="0032135C">
            <w:pPr>
              <w:jc w:val="center"/>
              <w:rPr>
                <w:i/>
                <w:iCs/>
                <w:color w:val="000000" w:themeColor="text1"/>
                <w:kern w:val="22"/>
                <w:szCs w:val="22"/>
                <w:lang w:val="fr-FR" w:eastAsia="en-CA"/>
              </w:rPr>
            </w:pPr>
            <w:r w:rsidRPr="006E23F0">
              <w:rPr>
                <w:i/>
                <w:iCs/>
                <w:color w:val="000000" w:themeColor="text1"/>
                <w:kern w:val="22"/>
                <w:szCs w:val="22"/>
                <w:lang w:val="fr-FR" w:eastAsia="en-CA"/>
              </w:rPr>
              <w:t>Objet des dépenses</w:t>
            </w:r>
          </w:p>
        </w:tc>
        <w:tc>
          <w:tcPr>
            <w:tcW w:w="1312" w:type="dxa"/>
            <w:tcBorders>
              <w:top w:val="single" w:sz="4" w:space="0" w:color="auto"/>
              <w:left w:val="single" w:sz="4" w:space="0" w:color="auto"/>
              <w:bottom w:val="nil"/>
              <w:right w:val="single" w:sz="4" w:space="0" w:color="auto"/>
            </w:tcBorders>
            <w:shd w:val="clear" w:color="auto" w:fill="auto"/>
            <w:vAlign w:val="center"/>
            <w:hideMark/>
          </w:tcPr>
          <w:p w14:paraId="085B0BEE" w14:textId="28562BF4" w:rsidR="002B3874" w:rsidRPr="006E23F0" w:rsidRDefault="001F2F5B" w:rsidP="00985DB2">
            <w:pPr>
              <w:jc w:val="center"/>
              <w:rPr>
                <w:i/>
                <w:iCs/>
                <w:color w:val="000000" w:themeColor="text1"/>
                <w:kern w:val="22"/>
                <w:szCs w:val="22"/>
                <w:lang w:val="fr-FR" w:eastAsia="en-CA"/>
              </w:rPr>
            </w:pPr>
            <w:r w:rsidRPr="006E23F0">
              <w:rPr>
                <w:i/>
                <w:iCs/>
                <w:color w:val="000000" w:themeColor="text1"/>
                <w:kern w:val="22"/>
                <w:szCs w:val="22"/>
                <w:lang w:val="fr-FR" w:eastAsia="en-CA"/>
              </w:rPr>
              <w:t>Budget total approuvé</w:t>
            </w:r>
          </w:p>
        </w:tc>
        <w:tc>
          <w:tcPr>
            <w:tcW w:w="1388" w:type="dxa"/>
            <w:tcBorders>
              <w:top w:val="single" w:sz="4" w:space="0" w:color="auto"/>
              <w:left w:val="single" w:sz="4" w:space="0" w:color="auto"/>
              <w:bottom w:val="nil"/>
              <w:right w:val="single" w:sz="4" w:space="0" w:color="auto"/>
            </w:tcBorders>
            <w:shd w:val="clear" w:color="auto" w:fill="auto"/>
            <w:vAlign w:val="center"/>
          </w:tcPr>
          <w:p w14:paraId="27E56089" w14:textId="3767C88B" w:rsidR="002B3874" w:rsidRPr="006E23F0" w:rsidRDefault="001F2F5B" w:rsidP="00985DB2">
            <w:pPr>
              <w:jc w:val="center"/>
              <w:rPr>
                <w:i/>
                <w:iCs/>
                <w:color w:val="000000"/>
                <w:kern w:val="22"/>
                <w:szCs w:val="22"/>
                <w:lang w:val="fr-FR" w:eastAsia="en-CA"/>
              </w:rPr>
            </w:pPr>
            <w:r w:rsidRPr="006E23F0">
              <w:rPr>
                <w:i/>
                <w:iCs/>
                <w:color w:val="000000"/>
                <w:kern w:val="22"/>
                <w:szCs w:val="22"/>
                <w:lang w:val="fr-FR" w:eastAsia="en-CA"/>
              </w:rPr>
              <w:t>Dépenses totales (1er janvier 2019-31 décembre 2020)</w:t>
            </w:r>
          </w:p>
        </w:tc>
        <w:tc>
          <w:tcPr>
            <w:tcW w:w="1440" w:type="dxa"/>
            <w:tcBorders>
              <w:top w:val="single" w:sz="4" w:space="0" w:color="auto"/>
              <w:left w:val="single" w:sz="4" w:space="0" w:color="auto"/>
              <w:bottom w:val="nil"/>
              <w:right w:val="single" w:sz="4" w:space="0" w:color="auto"/>
            </w:tcBorders>
            <w:shd w:val="clear" w:color="auto" w:fill="auto"/>
          </w:tcPr>
          <w:p w14:paraId="48B41A8A" w14:textId="77777777" w:rsidR="002B3874" w:rsidRPr="006E23F0" w:rsidRDefault="001F2F5B" w:rsidP="001F2F5B">
            <w:pPr>
              <w:jc w:val="center"/>
              <w:rPr>
                <w:i/>
                <w:iCs/>
                <w:color w:val="000000" w:themeColor="text1"/>
                <w:kern w:val="22"/>
                <w:szCs w:val="22"/>
                <w:lang w:val="fr-FR" w:eastAsia="en-CA"/>
              </w:rPr>
            </w:pPr>
            <w:r w:rsidRPr="006E23F0">
              <w:rPr>
                <w:i/>
                <w:iCs/>
                <w:color w:val="000000" w:themeColor="text1"/>
                <w:kern w:val="22"/>
                <w:szCs w:val="22"/>
                <w:lang w:val="fr-FR" w:eastAsia="en-CA"/>
              </w:rPr>
              <w:t xml:space="preserve">Dépenses du budget approuvé à effectuer en 2021 (1er </w:t>
            </w:r>
            <w:r w:rsidR="00201C10" w:rsidRPr="006E23F0">
              <w:rPr>
                <w:i/>
                <w:iCs/>
                <w:color w:val="000000" w:themeColor="text1"/>
                <w:kern w:val="22"/>
                <w:szCs w:val="22"/>
                <w:lang w:val="fr-FR" w:eastAsia="en-CA"/>
              </w:rPr>
              <w:t>j</w:t>
            </w:r>
            <w:r w:rsidRPr="006E23F0">
              <w:rPr>
                <w:i/>
                <w:iCs/>
                <w:color w:val="000000" w:themeColor="text1"/>
                <w:kern w:val="22"/>
                <w:szCs w:val="22"/>
                <w:lang w:val="fr-FR" w:eastAsia="en-CA"/>
              </w:rPr>
              <w:t>anvier 2021-31</w:t>
            </w:r>
          </w:p>
          <w:p w14:paraId="25B52EA7" w14:textId="0B0BD0FB" w:rsidR="00201C10" w:rsidRPr="006E23F0" w:rsidRDefault="00201C10" w:rsidP="001F2F5B">
            <w:pPr>
              <w:jc w:val="center"/>
              <w:rPr>
                <w:b/>
                <w:bCs/>
                <w:color w:val="000000" w:themeColor="text1"/>
                <w:kern w:val="22"/>
                <w:szCs w:val="22"/>
                <w:lang w:val="fr-FR" w:eastAsia="en-CA"/>
              </w:rPr>
            </w:pPr>
            <w:r w:rsidRPr="006E23F0">
              <w:rPr>
                <w:i/>
                <w:iCs/>
                <w:color w:val="000000" w:themeColor="text1"/>
                <w:kern w:val="22"/>
                <w:szCs w:val="22"/>
                <w:lang w:val="fr-FR" w:eastAsia="en-CA"/>
              </w:rPr>
              <w:t>Décembre 2021)</w:t>
            </w:r>
          </w:p>
        </w:tc>
        <w:tc>
          <w:tcPr>
            <w:tcW w:w="1080" w:type="dxa"/>
            <w:tcBorders>
              <w:top w:val="single" w:sz="4" w:space="0" w:color="auto"/>
              <w:left w:val="single" w:sz="4" w:space="0" w:color="auto"/>
              <w:bottom w:val="nil"/>
              <w:right w:val="single" w:sz="4" w:space="0" w:color="auto"/>
            </w:tcBorders>
            <w:shd w:val="clear" w:color="auto" w:fill="auto"/>
            <w:vAlign w:val="center"/>
          </w:tcPr>
          <w:p w14:paraId="32CB9010" w14:textId="77777777" w:rsidR="002B3874" w:rsidRPr="006E23F0" w:rsidRDefault="002B3874" w:rsidP="00985DB2">
            <w:pPr>
              <w:jc w:val="center"/>
              <w:rPr>
                <w:i/>
                <w:iCs/>
                <w:color w:val="000000"/>
                <w:kern w:val="22"/>
                <w:szCs w:val="22"/>
                <w:lang w:val="fr-FR" w:eastAsia="en-CA"/>
              </w:rPr>
            </w:pPr>
            <w:r w:rsidRPr="006E23F0">
              <w:rPr>
                <w:i/>
                <w:iCs/>
                <w:color w:val="000000"/>
                <w:kern w:val="22"/>
                <w:szCs w:val="22"/>
                <w:lang w:val="fr-FR" w:eastAsia="en-CA"/>
              </w:rPr>
              <w:t>Variance</w:t>
            </w:r>
          </w:p>
        </w:tc>
      </w:tr>
      <w:tr w:rsidR="002B3874" w:rsidRPr="006E23F0" w14:paraId="2217F693" w14:textId="77777777" w:rsidTr="006E23F0">
        <w:trPr>
          <w:trHeight w:val="300"/>
          <w:jc w:val="center"/>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222059" w14:textId="745C5B81" w:rsidR="002B3874" w:rsidRPr="006E23F0" w:rsidRDefault="002B3874" w:rsidP="002B3874">
            <w:pPr>
              <w:rPr>
                <w:b/>
                <w:bCs/>
                <w:color w:val="000000" w:themeColor="text1"/>
                <w:kern w:val="22"/>
                <w:szCs w:val="22"/>
                <w:lang w:val="fr-FR" w:eastAsia="en-CA"/>
              </w:rPr>
            </w:pPr>
          </w:p>
        </w:tc>
        <w:tc>
          <w:tcPr>
            <w:tcW w:w="1312" w:type="dxa"/>
            <w:tcBorders>
              <w:top w:val="nil"/>
              <w:left w:val="single" w:sz="4" w:space="0" w:color="auto"/>
              <w:bottom w:val="single" w:sz="4" w:space="0" w:color="auto"/>
              <w:right w:val="single" w:sz="4" w:space="0" w:color="auto"/>
            </w:tcBorders>
            <w:shd w:val="clear" w:color="auto" w:fill="auto"/>
            <w:vAlign w:val="center"/>
            <w:hideMark/>
          </w:tcPr>
          <w:p w14:paraId="6B3FCAB3" w14:textId="77777777" w:rsidR="002B3874" w:rsidRPr="006E23F0" w:rsidRDefault="002B3874" w:rsidP="00985DB2">
            <w:pPr>
              <w:jc w:val="center"/>
              <w:rPr>
                <w:b/>
                <w:bCs/>
                <w:color w:val="000000" w:themeColor="text1"/>
                <w:kern w:val="22"/>
                <w:szCs w:val="22"/>
                <w:lang w:eastAsia="en-CA"/>
              </w:rPr>
            </w:pPr>
          </w:p>
        </w:tc>
        <w:tc>
          <w:tcPr>
            <w:tcW w:w="1388" w:type="dxa"/>
            <w:tcBorders>
              <w:top w:val="nil"/>
              <w:left w:val="single" w:sz="4" w:space="0" w:color="auto"/>
              <w:bottom w:val="single" w:sz="4" w:space="0" w:color="auto"/>
              <w:right w:val="single" w:sz="4" w:space="0" w:color="auto"/>
            </w:tcBorders>
            <w:shd w:val="clear" w:color="auto" w:fill="auto"/>
            <w:vAlign w:val="center"/>
          </w:tcPr>
          <w:p w14:paraId="0950231A" w14:textId="77777777" w:rsidR="002B3874" w:rsidRPr="006E23F0" w:rsidRDefault="002B3874" w:rsidP="00985DB2">
            <w:pPr>
              <w:jc w:val="center"/>
              <w:rPr>
                <w:b/>
                <w:bCs/>
                <w:color w:val="000000"/>
                <w:kern w:val="22"/>
                <w:szCs w:val="22"/>
                <w:lang w:eastAsia="en-CA"/>
              </w:rPr>
            </w:pPr>
          </w:p>
        </w:tc>
        <w:tc>
          <w:tcPr>
            <w:tcW w:w="1440" w:type="dxa"/>
            <w:tcBorders>
              <w:top w:val="nil"/>
              <w:left w:val="single" w:sz="4" w:space="0" w:color="auto"/>
              <w:bottom w:val="single" w:sz="4" w:space="0" w:color="auto"/>
              <w:right w:val="single" w:sz="4" w:space="0" w:color="auto"/>
            </w:tcBorders>
            <w:shd w:val="clear" w:color="auto" w:fill="auto"/>
          </w:tcPr>
          <w:p w14:paraId="625F497A" w14:textId="5F5CDF9C" w:rsidR="001F2F5B" w:rsidRPr="006E23F0" w:rsidRDefault="001F2F5B" w:rsidP="001F2F5B">
            <w:pPr>
              <w:jc w:val="center"/>
              <w:rPr>
                <w:b/>
                <w:bCs/>
                <w:color w:val="000000" w:themeColor="text1"/>
                <w:kern w:val="22"/>
                <w:szCs w:val="22"/>
                <w:lang w:eastAsia="en-CA"/>
              </w:rPr>
            </w:pPr>
          </w:p>
        </w:tc>
        <w:tc>
          <w:tcPr>
            <w:tcW w:w="1080" w:type="dxa"/>
            <w:tcBorders>
              <w:top w:val="nil"/>
              <w:left w:val="single" w:sz="4" w:space="0" w:color="auto"/>
              <w:bottom w:val="single" w:sz="4" w:space="0" w:color="auto"/>
              <w:right w:val="single" w:sz="4" w:space="0" w:color="auto"/>
            </w:tcBorders>
            <w:shd w:val="clear" w:color="auto" w:fill="auto"/>
            <w:vAlign w:val="center"/>
          </w:tcPr>
          <w:p w14:paraId="7C92AD86" w14:textId="77777777" w:rsidR="002B3874" w:rsidRPr="006E23F0" w:rsidRDefault="002B3874" w:rsidP="00985DB2">
            <w:pPr>
              <w:jc w:val="center"/>
              <w:rPr>
                <w:b/>
                <w:bCs/>
                <w:color w:val="000000"/>
                <w:kern w:val="22"/>
                <w:szCs w:val="22"/>
                <w:lang w:eastAsia="en-CA"/>
              </w:rPr>
            </w:pPr>
          </w:p>
        </w:tc>
      </w:tr>
      <w:tr w:rsidR="002B3874" w:rsidRPr="006E23F0" w14:paraId="2DA83837" w14:textId="77777777" w:rsidTr="006E23F0">
        <w:trPr>
          <w:trHeight w:val="300"/>
          <w:jc w:val="center"/>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5B39DA" w14:textId="52A7A20F" w:rsidR="002B3874" w:rsidRPr="006E23F0" w:rsidRDefault="002B3874" w:rsidP="002B3874">
            <w:pPr>
              <w:rPr>
                <w:b/>
                <w:bCs/>
                <w:color w:val="000000" w:themeColor="text1"/>
                <w:kern w:val="22"/>
                <w:szCs w:val="22"/>
                <w:lang w:val="fr-FR" w:eastAsia="en-CA"/>
              </w:rPr>
            </w:pPr>
            <w:r w:rsidRPr="006E23F0">
              <w:rPr>
                <w:b/>
                <w:bCs/>
                <w:color w:val="000000" w:themeColor="text1"/>
                <w:kern w:val="22"/>
                <w:szCs w:val="22"/>
                <w:lang w:val="fr-FR" w:eastAsia="en-CA"/>
              </w:rPr>
              <w:t xml:space="preserve">A. </w:t>
            </w:r>
            <w:r w:rsidR="00D45410" w:rsidRPr="006E23F0">
              <w:rPr>
                <w:b/>
                <w:bCs/>
                <w:color w:val="000000" w:themeColor="text1"/>
                <w:kern w:val="22"/>
                <w:szCs w:val="22"/>
                <w:lang w:val="fr-FR" w:eastAsia="en-CA"/>
              </w:rPr>
              <w:t>Dépenses</w:t>
            </w:r>
            <w:r w:rsidR="004B5CAA" w:rsidRPr="006E23F0">
              <w:rPr>
                <w:b/>
                <w:bCs/>
                <w:color w:val="000000" w:themeColor="text1"/>
                <w:kern w:val="22"/>
                <w:szCs w:val="22"/>
                <w:lang w:val="fr-FR" w:eastAsia="en-CA"/>
              </w:rPr>
              <w:t xml:space="preserve"> d</w:t>
            </w:r>
            <w:r w:rsidR="00D45410" w:rsidRPr="006E23F0">
              <w:rPr>
                <w:b/>
                <w:bCs/>
                <w:color w:val="000000" w:themeColor="text1"/>
                <w:kern w:val="22"/>
                <w:szCs w:val="22"/>
                <w:lang w:val="fr-FR" w:eastAsia="en-CA"/>
              </w:rPr>
              <w:t>e</w:t>
            </w:r>
            <w:r w:rsidR="004B5CAA" w:rsidRPr="006E23F0">
              <w:rPr>
                <w:b/>
                <w:bCs/>
                <w:color w:val="000000" w:themeColor="text1"/>
                <w:kern w:val="22"/>
                <w:szCs w:val="22"/>
                <w:lang w:val="fr-FR" w:eastAsia="en-CA"/>
              </w:rPr>
              <w:t xml:space="preserve"> personnel </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70882" w14:textId="77777777" w:rsidR="002B3874" w:rsidRPr="006E23F0" w:rsidRDefault="002B3874" w:rsidP="00985DB2">
            <w:pPr>
              <w:jc w:val="right"/>
              <w:rPr>
                <w:color w:val="000000" w:themeColor="text1"/>
                <w:kern w:val="22"/>
                <w:szCs w:val="22"/>
                <w:lang w:eastAsia="en-CA"/>
              </w:rPr>
            </w:pPr>
            <w:r w:rsidRPr="006E23F0">
              <w:rPr>
                <w:color w:val="000000" w:themeColor="text1"/>
                <w:kern w:val="22"/>
                <w:szCs w:val="22"/>
                <w:lang w:eastAsia="en-CA"/>
              </w:rPr>
              <w:t>23,080.5</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14:paraId="489E326D" w14:textId="77777777" w:rsidR="002B3874" w:rsidRPr="006E23F0" w:rsidRDefault="002B3874" w:rsidP="00985DB2">
            <w:pPr>
              <w:jc w:val="right"/>
              <w:rPr>
                <w:color w:val="000000"/>
                <w:kern w:val="22"/>
                <w:szCs w:val="22"/>
                <w:lang w:eastAsia="en-CA"/>
              </w:rPr>
            </w:pPr>
            <w:r w:rsidRPr="006E23F0">
              <w:rPr>
                <w:color w:val="000000"/>
                <w:kern w:val="22"/>
                <w:szCs w:val="22"/>
                <w:lang w:eastAsia="en-CA"/>
              </w:rPr>
              <w:t>20,100.0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8015935" w14:textId="77777777" w:rsidR="002B3874" w:rsidRPr="006E23F0" w:rsidRDefault="002B3874" w:rsidP="00985DB2">
            <w:pPr>
              <w:jc w:val="right"/>
              <w:rPr>
                <w:color w:val="000000" w:themeColor="text1"/>
                <w:kern w:val="22"/>
                <w:szCs w:val="22"/>
                <w:lang w:eastAsia="en-CA"/>
              </w:rPr>
            </w:pPr>
            <w:r w:rsidRPr="006E23F0">
              <w:rPr>
                <w:color w:val="000000" w:themeColor="text1"/>
                <w:kern w:val="22"/>
                <w:szCs w:val="22"/>
                <w:lang w:eastAsia="en-CA"/>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6C84FBF" w14:textId="77777777" w:rsidR="002B3874" w:rsidRPr="006E23F0" w:rsidRDefault="002B3874" w:rsidP="00985DB2">
            <w:pPr>
              <w:jc w:val="right"/>
              <w:rPr>
                <w:color w:val="000000"/>
                <w:kern w:val="22"/>
                <w:szCs w:val="22"/>
                <w:lang w:eastAsia="en-CA"/>
              </w:rPr>
            </w:pPr>
            <w:r w:rsidRPr="006E23F0">
              <w:rPr>
                <w:color w:val="000000"/>
                <w:kern w:val="22"/>
                <w:szCs w:val="22"/>
                <w:lang w:eastAsia="en-CA"/>
              </w:rPr>
              <w:t>2,980.5</w:t>
            </w:r>
          </w:p>
        </w:tc>
      </w:tr>
      <w:tr w:rsidR="002B3874" w:rsidRPr="006E23F0" w14:paraId="6448929F" w14:textId="77777777" w:rsidTr="006E23F0">
        <w:trPr>
          <w:trHeight w:val="300"/>
          <w:jc w:val="center"/>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816A0D" w14:textId="70689DA2" w:rsidR="004B5CAA" w:rsidRPr="006E23F0" w:rsidRDefault="002B3874" w:rsidP="002B3874">
            <w:pPr>
              <w:rPr>
                <w:b/>
                <w:bCs/>
                <w:color w:val="000000" w:themeColor="text1"/>
                <w:kern w:val="22"/>
                <w:szCs w:val="22"/>
                <w:lang w:val="fr-FR" w:eastAsia="en-CA"/>
              </w:rPr>
            </w:pPr>
            <w:r w:rsidRPr="006E23F0">
              <w:rPr>
                <w:b/>
                <w:bCs/>
                <w:color w:val="000000" w:themeColor="text1"/>
                <w:kern w:val="22"/>
                <w:szCs w:val="22"/>
                <w:lang w:val="fr-FR" w:eastAsia="en-CA"/>
              </w:rPr>
              <w:t>B.</w:t>
            </w:r>
            <w:r w:rsidR="004B5CAA" w:rsidRPr="006E23F0">
              <w:rPr>
                <w:b/>
                <w:bCs/>
                <w:color w:val="000000" w:themeColor="text1"/>
                <w:kern w:val="22"/>
                <w:szCs w:val="22"/>
                <w:lang w:val="fr-FR" w:eastAsia="en-CA"/>
              </w:rPr>
              <w:t xml:space="preserve"> Réunion du Bureau </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CE46EB" w14:textId="77777777" w:rsidR="002B3874" w:rsidRPr="006E23F0" w:rsidRDefault="002B3874" w:rsidP="00985DB2">
            <w:pPr>
              <w:jc w:val="right"/>
              <w:rPr>
                <w:color w:val="000000" w:themeColor="text1"/>
                <w:kern w:val="22"/>
                <w:szCs w:val="22"/>
                <w:lang w:eastAsia="en-CA"/>
              </w:rPr>
            </w:pPr>
            <w:r w:rsidRPr="006E23F0">
              <w:rPr>
                <w:color w:val="000000" w:themeColor="text1"/>
                <w:kern w:val="22"/>
                <w:szCs w:val="22"/>
                <w:lang w:eastAsia="en-CA"/>
              </w:rPr>
              <w:t>365.0</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14:paraId="5883892D" w14:textId="77777777" w:rsidR="002B3874" w:rsidRPr="006E23F0" w:rsidRDefault="002B3874" w:rsidP="00985DB2">
            <w:pPr>
              <w:jc w:val="right"/>
              <w:rPr>
                <w:color w:val="000000"/>
                <w:kern w:val="22"/>
                <w:szCs w:val="22"/>
                <w:lang w:eastAsia="en-CA"/>
              </w:rPr>
            </w:pPr>
            <w:r w:rsidRPr="006E23F0">
              <w:rPr>
                <w:color w:val="000000"/>
                <w:kern w:val="22"/>
                <w:szCs w:val="22"/>
                <w:lang w:eastAsia="en-CA"/>
              </w:rPr>
              <w:t>200.0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9325B17" w14:textId="77777777" w:rsidR="002B3874" w:rsidRPr="006E23F0" w:rsidRDefault="002B3874" w:rsidP="00985DB2">
            <w:pPr>
              <w:jc w:val="right"/>
              <w:rPr>
                <w:color w:val="000000" w:themeColor="text1"/>
                <w:kern w:val="22"/>
                <w:szCs w:val="22"/>
                <w:lang w:eastAsia="en-CA"/>
              </w:rPr>
            </w:pPr>
            <w:r w:rsidRPr="006E23F0">
              <w:rPr>
                <w:color w:val="000000" w:themeColor="text1"/>
                <w:kern w:val="22"/>
                <w:szCs w:val="22"/>
                <w:lang w:eastAsia="en-CA"/>
              </w:rPr>
              <w:t>165.0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BDD4FBB" w14:textId="77777777" w:rsidR="002B3874" w:rsidRPr="006E23F0" w:rsidRDefault="002B3874" w:rsidP="00985DB2">
            <w:pPr>
              <w:jc w:val="right"/>
              <w:rPr>
                <w:color w:val="000000"/>
                <w:kern w:val="22"/>
                <w:szCs w:val="22"/>
                <w:lang w:eastAsia="en-CA"/>
              </w:rPr>
            </w:pPr>
            <w:r w:rsidRPr="006E23F0">
              <w:rPr>
                <w:color w:val="000000"/>
                <w:kern w:val="22"/>
                <w:szCs w:val="22"/>
                <w:lang w:eastAsia="en-CA"/>
              </w:rPr>
              <w:t>0.0</w:t>
            </w:r>
          </w:p>
        </w:tc>
      </w:tr>
      <w:tr w:rsidR="002B3874" w:rsidRPr="006E23F0" w14:paraId="00DEBD47" w14:textId="77777777" w:rsidTr="006E23F0">
        <w:trPr>
          <w:trHeight w:val="300"/>
          <w:jc w:val="center"/>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2DC7DC" w14:textId="5587E98C" w:rsidR="002B3874" w:rsidRPr="006E23F0" w:rsidRDefault="002B3874" w:rsidP="002B3874">
            <w:pPr>
              <w:rPr>
                <w:b/>
                <w:bCs/>
                <w:color w:val="000000" w:themeColor="text1"/>
                <w:kern w:val="22"/>
                <w:szCs w:val="22"/>
                <w:lang w:val="fr-FR" w:eastAsia="en-CA"/>
              </w:rPr>
            </w:pPr>
            <w:r w:rsidRPr="006E23F0">
              <w:rPr>
                <w:b/>
                <w:bCs/>
                <w:color w:val="000000" w:themeColor="text1"/>
                <w:kern w:val="22"/>
                <w:szCs w:val="22"/>
                <w:lang w:val="fr-FR" w:eastAsia="en-CA"/>
              </w:rPr>
              <w:t xml:space="preserve">C. </w:t>
            </w:r>
            <w:r w:rsidR="00D45410" w:rsidRPr="006E23F0">
              <w:rPr>
                <w:b/>
                <w:bCs/>
                <w:color w:val="000000" w:themeColor="text1"/>
                <w:kern w:val="22"/>
                <w:szCs w:val="22"/>
                <w:lang w:val="fr-FR" w:eastAsia="en-CA"/>
              </w:rPr>
              <w:t>Voyages en mission</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59248E" w14:textId="77777777" w:rsidR="002B3874" w:rsidRPr="006E23F0" w:rsidRDefault="002B3874" w:rsidP="00985DB2">
            <w:pPr>
              <w:jc w:val="right"/>
              <w:rPr>
                <w:color w:val="000000" w:themeColor="text1"/>
                <w:kern w:val="22"/>
                <w:szCs w:val="22"/>
                <w:lang w:eastAsia="en-CA"/>
              </w:rPr>
            </w:pPr>
            <w:r w:rsidRPr="006E23F0">
              <w:rPr>
                <w:color w:val="000000" w:themeColor="text1"/>
                <w:kern w:val="22"/>
                <w:szCs w:val="22"/>
                <w:lang w:eastAsia="en-CA"/>
              </w:rPr>
              <w:t>800.0</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14:paraId="38DC2910" w14:textId="77777777" w:rsidR="002B3874" w:rsidRPr="006E23F0" w:rsidRDefault="002B3874" w:rsidP="00985DB2">
            <w:pPr>
              <w:jc w:val="right"/>
              <w:rPr>
                <w:color w:val="000000"/>
                <w:kern w:val="22"/>
                <w:szCs w:val="22"/>
                <w:lang w:eastAsia="en-CA"/>
              </w:rPr>
            </w:pPr>
            <w:r w:rsidRPr="006E23F0">
              <w:rPr>
                <w:color w:val="000000"/>
                <w:kern w:val="22"/>
                <w:szCs w:val="22"/>
                <w:lang w:eastAsia="en-CA"/>
              </w:rPr>
              <w:t>559.6</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1201D9B" w14:textId="77777777" w:rsidR="002B3874" w:rsidRPr="006E23F0" w:rsidRDefault="002B3874" w:rsidP="00985DB2">
            <w:pPr>
              <w:jc w:val="right"/>
              <w:rPr>
                <w:color w:val="000000" w:themeColor="text1"/>
                <w:kern w:val="22"/>
                <w:szCs w:val="22"/>
                <w:lang w:eastAsia="en-CA"/>
              </w:rPr>
            </w:pPr>
            <w:r w:rsidRPr="006E23F0">
              <w:rPr>
                <w:color w:val="000000" w:themeColor="text1"/>
                <w:kern w:val="22"/>
                <w:szCs w:val="22"/>
                <w:lang w:eastAsia="en-CA"/>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81CB87E" w14:textId="77777777" w:rsidR="002B3874" w:rsidRPr="006E23F0" w:rsidRDefault="002B3874" w:rsidP="00985DB2">
            <w:pPr>
              <w:jc w:val="right"/>
              <w:rPr>
                <w:color w:val="000000"/>
                <w:kern w:val="22"/>
                <w:szCs w:val="22"/>
                <w:lang w:eastAsia="en-CA"/>
              </w:rPr>
            </w:pPr>
            <w:r w:rsidRPr="006E23F0">
              <w:rPr>
                <w:color w:val="000000"/>
                <w:kern w:val="22"/>
                <w:szCs w:val="22"/>
                <w:lang w:eastAsia="en-CA"/>
              </w:rPr>
              <w:t>240.4</w:t>
            </w:r>
          </w:p>
        </w:tc>
      </w:tr>
      <w:tr w:rsidR="002B3874" w:rsidRPr="006E23F0" w14:paraId="7B6FDA96" w14:textId="77777777" w:rsidTr="006E23F0">
        <w:trPr>
          <w:trHeight w:val="300"/>
          <w:jc w:val="center"/>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0FF7E0" w14:textId="3C5FF6C7" w:rsidR="002B3874" w:rsidRPr="006E23F0" w:rsidRDefault="002B3874" w:rsidP="002B3874">
            <w:pPr>
              <w:rPr>
                <w:b/>
                <w:bCs/>
                <w:color w:val="000000" w:themeColor="text1"/>
                <w:kern w:val="22"/>
                <w:szCs w:val="22"/>
                <w:lang w:val="fr-FR" w:eastAsia="en-CA"/>
              </w:rPr>
            </w:pPr>
            <w:r w:rsidRPr="006E23F0">
              <w:rPr>
                <w:b/>
                <w:bCs/>
                <w:color w:val="000000" w:themeColor="text1"/>
                <w:kern w:val="22"/>
                <w:szCs w:val="22"/>
                <w:lang w:val="fr-FR" w:eastAsia="en-CA"/>
              </w:rPr>
              <w:t xml:space="preserve">D. </w:t>
            </w:r>
            <w:r w:rsidR="004B5CAA" w:rsidRPr="006E23F0">
              <w:rPr>
                <w:b/>
                <w:bCs/>
                <w:color w:val="000000" w:themeColor="text1"/>
                <w:kern w:val="22"/>
                <w:szCs w:val="22"/>
                <w:lang w:val="fr-FR" w:eastAsia="en-CA"/>
              </w:rPr>
              <w:t>Consultants/sous-traitants</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A5373A" w14:textId="77777777" w:rsidR="002B3874" w:rsidRPr="006E23F0" w:rsidRDefault="002B3874" w:rsidP="00985DB2">
            <w:pPr>
              <w:jc w:val="right"/>
              <w:rPr>
                <w:color w:val="000000" w:themeColor="text1"/>
                <w:kern w:val="22"/>
                <w:szCs w:val="22"/>
                <w:lang w:eastAsia="en-CA"/>
              </w:rPr>
            </w:pPr>
            <w:r w:rsidRPr="006E23F0">
              <w:rPr>
                <w:color w:val="000000" w:themeColor="text1"/>
                <w:kern w:val="22"/>
                <w:szCs w:val="22"/>
                <w:lang w:eastAsia="en-CA"/>
              </w:rPr>
              <w:t>100.0</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14:paraId="5C446BD5" w14:textId="77777777" w:rsidR="002B3874" w:rsidRPr="006E23F0" w:rsidRDefault="002B3874" w:rsidP="00985DB2">
            <w:pPr>
              <w:jc w:val="right"/>
              <w:rPr>
                <w:color w:val="000000"/>
                <w:kern w:val="22"/>
                <w:szCs w:val="22"/>
                <w:lang w:eastAsia="en-CA"/>
              </w:rPr>
            </w:pPr>
            <w:r w:rsidRPr="006E23F0">
              <w:rPr>
                <w:color w:val="000000"/>
                <w:kern w:val="22"/>
                <w:szCs w:val="22"/>
                <w:lang w:eastAsia="en-CA"/>
              </w:rPr>
              <w:t>100.0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7E9BA52" w14:textId="77777777" w:rsidR="002B3874" w:rsidRPr="006E23F0" w:rsidRDefault="002B3874" w:rsidP="00985DB2">
            <w:pPr>
              <w:jc w:val="right"/>
              <w:rPr>
                <w:color w:val="000000" w:themeColor="text1"/>
                <w:kern w:val="22"/>
                <w:szCs w:val="22"/>
                <w:lang w:eastAsia="en-CA"/>
              </w:rPr>
            </w:pPr>
            <w:r w:rsidRPr="006E23F0">
              <w:rPr>
                <w:color w:val="000000" w:themeColor="text1"/>
                <w:kern w:val="22"/>
                <w:szCs w:val="22"/>
                <w:lang w:eastAsia="en-CA"/>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C9DC3DD" w14:textId="77777777" w:rsidR="002B3874" w:rsidRPr="006E23F0" w:rsidRDefault="002B3874" w:rsidP="00985DB2">
            <w:pPr>
              <w:jc w:val="right"/>
              <w:rPr>
                <w:color w:val="000000"/>
                <w:kern w:val="22"/>
                <w:szCs w:val="22"/>
                <w:lang w:eastAsia="en-CA"/>
              </w:rPr>
            </w:pPr>
            <w:r w:rsidRPr="006E23F0">
              <w:rPr>
                <w:color w:val="000000"/>
                <w:kern w:val="22"/>
                <w:szCs w:val="22"/>
                <w:lang w:eastAsia="en-CA"/>
              </w:rPr>
              <w:t>0.0</w:t>
            </w:r>
          </w:p>
        </w:tc>
      </w:tr>
      <w:tr w:rsidR="002B3874" w:rsidRPr="006E23F0" w14:paraId="43AFF15F" w14:textId="77777777" w:rsidTr="006E23F0">
        <w:trPr>
          <w:trHeight w:val="300"/>
          <w:jc w:val="center"/>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219C83" w14:textId="3FBDE862" w:rsidR="002B3874" w:rsidRPr="006E23F0" w:rsidRDefault="002B3874" w:rsidP="002B3874">
            <w:pPr>
              <w:rPr>
                <w:b/>
                <w:bCs/>
                <w:color w:val="000000" w:themeColor="text1"/>
                <w:kern w:val="22"/>
                <w:szCs w:val="22"/>
                <w:lang w:val="fr-FR" w:eastAsia="en-CA"/>
              </w:rPr>
            </w:pPr>
            <w:r w:rsidRPr="006E23F0">
              <w:rPr>
                <w:b/>
                <w:bCs/>
                <w:color w:val="000000" w:themeColor="text1"/>
                <w:kern w:val="22"/>
                <w:szCs w:val="22"/>
                <w:lang w:val="fr-FR" w:eastAsia="en-CA"/>
              </w:rPr>
              <w:t xml:space="preserve">E. </w:t>
            </w:r>
            <w:r w:rsidR="004B5CAA" w:rsidRPr="006E23F0">
              <w:rPr>
                <w:b/>
                <w:bCs/>
                <w:color w:val="000000" w:themeColor="text1"/>
                <w:kern w:val="22"/>
                <w:szCs w:val="22"/>
                <w:lang w:val="fr-FR" w:eastAsia="en-CA"/>
              </w:rPr>
              <w:t>Matériel de sensibilisation du public/communications</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7E1658" w14:textId="77777777" w:rsidR="002B3874" w:rsidRPr="006E23F0" w:rsidRDefault="002B3874" w:rsidP="00985DB2">
            <w:pPr>
              <w:jc w:val="right"/>
              <w:rPr>
                <w:color w:val="000000" w:themeColor="text1"/>
                <w:kern w:val="22"/>
                <w:szCs w:val="22"/>
                <w:lang w:eastAsia="en-CA"/>
              </w:rPr>
            </w:pPr>
            <w:r w:rsidRPr="006E23F0">
              <w:rPr>
                <w:color w:val="000000" w:themeColor="text1"/>
                <w:kern w:val="22"/>
                <w:szCs w:val="22"/>
                <w:lang w:eastAsia="en-CA"/>
              </w:rPr>
              <w:t>100.0</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14:paraId="492C161E" w14:textId="77777777" w:rsidR="002B3874" w:rsidRPr="006E23F0" w:rsidRDefault="002B3874" w:rsidP="00985DB2">
            <w:pPr>
              <w:jc w:val="right"/>
              <w:rPr>
                <w:color w:val="000000"/>
                <w:kern w:val="22"/>
                <w:szCs w:val="22"/>
                <w:lang w:eastAsia="en-CA"/>
              </w:rPr>
            </w:pPr>
            <w:r w:rsidRPr="006E23F0">
              <w:rPr>
                <w:color w:val="000000"/>
                <w:kern w:val="22"/>
                <w:szCs w:val="22"/>
                <w:lang w:eastAsia="en-CA"/>
              </w:rPr>
              <w:t>100.0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B59692C" w14:textId="77777777" w:rsidR="002B3874" w:rsidRPr="006E23F0" w:rsidRDefault="002B3874" w:rsidP="00985DB2">
            <w:pPr>
              <w:jc w:val="right"/>
              <w:rPr>
                <w:color w:val="000000" w:themeColor="text1"/>
                <w:kern w:val="22"/>
                <w:szCs w:val="22"/>
                <w:lang w:eastAsia="en-CA"/>
              </w:rPr>
            </w:pPr>
            <w:r w:rsidRPr="006E23F0">
              <w:rPr>
                <w:color w:val="000000" w:themeColor="text1"/>
                <w:kern w:val="22"/>
                <w:szCs w:val="22"/>
                <w:lang w:eastAsia="en-CA"/>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0248284" w14:textId="77777777" w:rsidR="002B3874" w:rsidRPr="006E23F0" w:rsidRDefault="002B3874" w:rsidP="00985DB2">
            <w:pPr>
              <w:jc w:val="right"/>
              <w:rPr>
                <w:color w:val="000000"/>
                <w:kern w:val="22"/>
                <w:szCs w:val="22"/>
                <w:lang w:eastAsia="en-CA"/>
              </w:rPr>
            </w:pPr>
            <w:r w:rsidRPr="006E23F0">
              <w:rPr>
                <w:color w:val="000000"/>
                <w:kern w:val="22"/>
                <w:szCs w:val="22"/>
                <w:lang w:eastAsia="en-CA"/>
              </w:rPr>
              <w:t>0.0</w:t>
            </w:r>
          </w:p>
        </w:tc>
      </w:tr>
      <w:tr w:rsidR="002B3874" w:rsidRPr="006E23F0" w14:paraId="5EC9DE75" w14:textId="77777777" w:rsidTr="006E23F0">
        <w:trPr>
          <w:trHeight w:val="300"/>
          <w:jc w:val="center"/>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CBA73F" w14:textId="1D92FA30" w:rsidR="002B3874" w:rsidRPr="006E23F0" w:rsidRDefault="002B3874" w:rsidP="002B3874">
            <w:pPr>
              <w:rPr>
                <w:b/>
                <w:bCs/>
                <w:color w:val="000000" w:themeColor="text1"/>
                <w:kern w:val="22"/>
                <w:szCs w:val="22"/>
                <w:lang w:val="fr-FR" w:eastAsia="en-CA"/>
              </w:rPr>
            </w:pPr>
            <w:r w:rsidRPr="006E23F0">
              <w:rPr>
                <w:b/>
                <w:bCs/>
                <w:color w:val="000000" w:themeColor="text1"/>
                <w:kern w:val="22"/>
                <w:szCs w:val="22"/>
                <w:lang w:val="fr-FR" w:eastAsia="en-CA"/>
              </w:rPr>
              <w:t>F.</w:t>
            </w:r>
            <w:r w:rsidR="0071042E" w:rsidRPr="006E23F0">
              <w:rPr>
                <w:b/>
                <w:bCs/>
                <w:color w:val="000000" w:themeColor="text1"/>
                <w:kern w:val="22"/>
                <w:szCs w:val="22"/>
                <w:lang w:val="fr-FR" w:eastAsia="en-CA"/>
              </w:rPr>
              <w:t xml:space="preserve"> </w:t>
            </w:r>
            <w:r w:rsidR="004B5CAA" w:rsidRPr="006E23F0">
              <w:rPr>
                <w:b/>
                <w:bCs/>
                <w:color w:val="000000" w:themeColor="text1"/>
                <w:kern w:val="22"/>
                <w:szCs w:val="22"/>
                <w:lang w:val="fr-FR" w:eastAsia="en-CA"/>
              </w:rPr>
              <w:t>Assistance</w:t>
            </w:r>
            <w:r w:rsidR="0071042E" w:rsidRPr="006E23F0">
              <w:rPr>
                <w:b/>
                <w:bCs/>
                <w:color w:val="000000" w:themeColor="text1"/>
                <w:kern w:val="22"/>
                <w:szCs w:val="22"/>
                <w:lang w:val="fr-FR" w:eastAsia="en-CA"/>
              </w:rPr>
              <w:t xml:space="preserve"> </w:t>
            </w:r>
            <w:r w:rsidR="004B5CAA" w:rsidRPr="006E23F0">
              <w:rPr>
                <w:b/>
                <w:bCs/>
                <w:color w:val="000000" w:themeColor="text1"/>
                <w:kern w:val="22"/>
                <w:szCs w:val="22"/>
                <w:lang w:val="fr-FR" w:eastAsia="en-CA"/>
              </w:rPr>
              <w:t>temporaire/heures supplémentaires</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DBFEA4" w14:textId="77777777" w:rsidR="002B3874" w:rsidRPr="006E23F0" w:rsidRDefault="002B3874" w:rsidP="00985DB2">
            <w:pPr>
              <w:jc w:val="right"/>
              <w:rPr>
                <w:color w:val="000000" w:themeColor="text1"/>
                <w:kern w:val="22"/>
                <w:szCs w:val="22"/>
                <w:lang w:eastAsia="en-CA"/>
              </w:rPr>
            </w:pPr>
            <w:r w:rsidRPr="006E23F0">
              <w:rPr>
                <w:color w:val="000000" w:themeColor="text1"/>
                <w:kern w:val="22"/>
                <w:szCs w:val="22"/>
                <w:lang w:eastAsia="en-CA"/>
              </w:rPr>
              <w:t>200.0</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14:paraId="5CC4C2DA" w14:textId="77777777" w:rsidR="002B3874" w:rsidRPr="006E23F0" w:rsidRDefault="002B3874" w:rsidP="00985DB2">
            <w:pPr>
              <w:jc w:val="right"/>
              <w:rPr>
                <w:color w:val="000000"/>
                <w:kern w:val="22"/>
                <w:szCs w:val="22"/>
                <w:lang w:eastAsia="en-CA"/>
              </w:rPr>
            </w:pPr>
            <w:r w:rsidRPr="006E23F0">
              <w:rPr>
                <w:color w:val="000000"/>
                <w:kern w:val="22"/>
                <w:szCs w:val="22"/>
                <w:lang w:eastAsia="en-CA"/>
              </w:rPr>
              <w:t>200.0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37406E8" w14:textId="77777777" w:rsidR="002B3874" w:rsidRPr="006E23F0" w:rsidRDefault="002B3874" w:rsidP="00985DB2">
            <w:pPr>
              <w:jc w:val="right"/>
              <w:rPr>
                <w:color w:val="000000" w:themeColor="text1"/>
                <w:kern w:val="22"/>
                <w:szCs w:val="22"/>
                <w:lang w:eastAsia="en-CA"/>
              </w:rPr>
            </w:pPr>
            <w:r w:rsidRPr="006E23F0">
              <w:rPr>
                <w:color w:val="000000" w:themeColor="text1"/>
                <w:kern w:val="22"/>
                <w:szCs w:val="22"/>
                <w:lang w:eastAsia="en-CA"/>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539A05D" w14:textId="77777777" w:rsidR="002B3874" w:rsidRPr="006E23F0" w:rsidRDefault="002B3874" w:rsidP="00985DB2">
            <w:pPr>
              <w:jc w:val="right"/>
              <w:rPr>
                <w:color w:val="000000"/>
                <w:kern w:val="22"/>
                <w:szCs w:val="22"/>
                <w:lang w:eastAsia="en-CA"/>
              </w:rPr>
            </w:pPr>
            <w:r w:rsidRPr="006E23F0">
              <w:rPr>
                <w:color w:val="000000"/>
                <w:kern w:val="22"/>
                <w:szCs w:val="22"/>
                <w:lang w:eastAsia="en-CA"/>
              </w:rPr>
              <w:t>0.0</w:t>
            </w:r>
          </w:p>
        </w:tc>
      </w:tr>
      <w:tr w:rsidR="002B3874" w:rsidRPr="006E23F0" w14:paraId="57A1801C" w14:textId="77777777" w:rsidTr="006E23F0">
        <w:trPr>
          <w:trHeight w:val="300"/>
          <w:jc w:val="center"/>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682412" w14:textId="7221719B" w:rsidR="002B3874" w:rsidRPr="006E23F0" w:rsidRDefault="002B3874" w:rsidP="002B3874">
            <w:pPr>
              <w:rPr>
                <w:b/>
                <w:bCs/>
                <w:color w:val="000000" w:themeColor="text1"/>
                <w:kern w:val="22"/>
                <w:szCs w:val="22"/>
                <w:lang w:val="fr-FR" w:eastAsia="en-CA"/>
              </w:rPr>
            </w:pPr>
            <w:r w:rsidRPr="006E23F0">
              <w:rPr>
                <w:b/>
                <w:bCs/>
                <w:color w:val="000000" w:themeColor="text1"/>
                <w:kern w:val="22"/>
                <w:szCs w:val="22"/>
                <w:lang w:val="fr-FR" w:eastAsia="en-CA"/>
              </w:rPr>
              <w:t xml:space="preserve">G. </w:t>
            </w:r>
            <w:r w:rsidR="004B5CAA" w:rsidRPr="006E23F0">
              <w:rPr>
                <w:b/>
                <w:bCs/>
                <w:color w:val="000000" w:themeColor="text1"/>
                <w:kern w:val="22"/>
                <w:szCs w:val="22"/>
                <w:lang w:val="fr-FR" w:eastAsia="en-CA"/>
              </w:rPr>
              <w:t>Formation</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3C79CB" w14:textId="77777777" w:rsidR="002B3874" w:rsidRPr="006E23F0" w:rsidRDefault="002B3874" w:rsidP="00985DB2">
            <w:pPr>
              <w:jc w:val="right"/>
              <w:rPr>
                <w:color w:val="000000" w:themeColor="text1"/>
                <w:kern w:val="22"/>
                <w:szCs w:val="22"/>
                <w:lang w:eastAsia="en-CA"/>
              </w:rPr>
            </w:pPr>
            <w:r w:rsidRPr="006E23F0">
              <w:rPr>
                <w:color w:val="000000" w:themeColor="text1"/>
                <w:kern w:val="22"/>
                <w:szCs w:val="22"/>
                <w:lang w:eastAsia="en-CA"/>
              </w:rPr>
              <w:t>10.0</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14:paraId="12191D84" w14:textId="77777777" w:rsidR="002B3874" w:rsidRPr="006E23F0" w:rsidRDefault="002B3874" w:rsidP="00985DB2">
            <w:pPr>
              <w:jc w:val="right"/>
              <w:rPr>
                <w:color w:val="000000"/>
                <w:kern w:val="22"/>
                <w:szCs w:val="22"/>
                <w:lang w:eastAsia="en-CA"/>
              </w:rPr>
            </w:pPr>
            <w:r w:rsidRPr="006E23F0">
              <w:rPr>
                <w:color w:val="000000"/>
                <w:kern w:val="22"/>
                <w:szCs w:val="22"/>
                <w:lang w:eastAsia="en-CA"/>
              </w:rPr>
              <w:t>10.0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88E1BD8" w14:textId="77777777" w:rsidR="002B3874" w:rsidRPr="006E23F0" w:rsidRDefault="002B3874" w:rsidP="00985DB2">
            <w:pPr>
              <w:jc w:val="right"/>
              <w:rPr>
                <w:color w:val="000000" w:themeColor="text1"/>
                <w:kern w:val="22"/>
                <w:szCs w:val="22"/>
                <w:lang w:eastAsia="en-CA"/>
              </w:rPr>
            </w:pPr>
            <w:r w:rsidRPr="006E23F0">
              <w:rPr>
                <w:color w:val="000000" w:themeColor="text1"/>
                <w:kern w:val="22"/>
                <w:szCs w:val="22"/>
                <w:lang w:eastAsia="en-CA"/>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ECF0938" w14:textId="77777777" w:rsidR="002B3874" w:rsidRPr="006E23F0" w:rsidRDefault="002B3874" w:rsidP="00985DB2">
            <w:pPr>
              <w:jc w:val="right"/>
              <w:rPr>
                <w:color w:val="000000"/>
                <w:kern w:val="22"/>
                <w:szCs w:val="22"/>
                <w:lang w:eastAsia="en-CA"/>
              </w:rPr>
            </w:pPr>
            <w:r w:rsidRPr="006E23F0">
              <w:rPr>
                <w:color w:val="000000"/>
                <w:kern w:val="22"/>
                <w:szCs w:val="22"/>
                <w:lang w:eastAsia="en-CA"/>
              </w:rPr>
              <w:t>0.0</w:t>
            </w:r>
          </w:p>
        </w:tc>
      </w:tr>
      <w:tr w:rsidR="002B3874" w:rsidRPr="006E23F0" w14:paraId="5DB95DF0" w14:textId="77777777" w:rsidTr="006E23F0">
        <w:trPr>
          <w:trHeight w:val="300"/>
          <w:jc w:val="center"/>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BC990C" w14:textId="314579CA" w:rsidR="002B3874" w:rsidRPr="006E23F0" w:rsidRDefault="002B3874" w:rsidP="002B3874">
            <w:pPr>
              <w:rPr>
                <w:b/>
                <w:bCs/>
                <w:color w:val="000000" w:themeColor="text1"/>
                <w:kern w:val="22"/>
                <w:szCs w:val="22"/>
                <w:lang w:val="fr-FR" w:eastAsia="en-CA"/>
              </w:rPr>
            </w:pPr>
            <w:r w:rsidRPr="006E23F0">
              <w:rPr>
                <w:b/>
                <w:bCs/>
                <w:color w:val="000000" w:themeColor="text1"/>
                <w:kern w:val="22"/>
                <w:szCs w:val="22"/>
                <w:lang w:val="fr-FR" w:eastAsia="en-CA"/>
              </w:rPr>
              <w:t xml:space="preserve">H. </w:t>
            </w:r>
            <w:r w:rsidR="004B5CAA" w:rsidRPr="006E23F0">
              <w:rPr>
                <w:b/>
                <w:bCs/>
                <w:color w:val="000000" w:themeColor="text1"/>
                <w:kern w:val="22"/>
                <w:szCs w:val="22"/>
                <w:lang w:val="fr-FR" w:eastAsia="en-CA"/>
              </w:rPr>
              <w:t xml:space="preserve">Traduction du site </w:t>
            </w:r>
            <w:r w:rsidR="00D45410" w:rsidRPr="006E23F0">
              <w:rPr>
                <w:b/>
                <w:bCs/>
                <w:color w:val="000000" w:themeColor="text1"/>
                <w:kern w:val="22"/>
                <w:szCs w:val="22"/>
                <w:lang w:val="fr-FR" w:eastAsia="en-CA"/>
              </w:rPr>
              <w:t>Internet du Centre d’échange</w:t>
            </w:r>
            <w:r w:rsidR="004B5CAA" w:rsidRPr="006E23F0">
              <w:rPr>
                <w:b/>
                <w:bCs/>
                <w:color w:val="000000" w:themeColor="text1"/>
                <w:kern w:val="22"/>
                <w:szCs w:val="22"/>
                <w:lang w:val="fr-FR" w:eastAsia="en-CA"/>
              </w:rPr>
              <w:t>/projets d</w:t>
            </w:r>
            <w:r w:rsidR="00D45410" w:rsidRPr="006E23F0">
              <w:rPr>
                <w:b/>
                <w:bCs/>
                <w:color w:val="000000" w:themeColor="text1"/>
                <w:kern w:val="22"/>
                <w:szCs w:val="22"/>
                <w:lang w:val="fr-FR" w:eastAsia="en-CA"/>
              </w:rPr>
              <w:t>u site Internet</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484A43" w14:textId="77777777" w:rsidR="002B3874" w:rsidRPr="006E23F0" w:rsidRDefault="002B3874" w:rsidP="00985DB2">
            <w:pPr>
              <w:jc w:val="right"/>
              <w:rPr>
                <w:color w:val="000000" w:themeColor="text1"/>
                <w:kern w:val="22"/>
                <w:szCs w:val="22"/>
                <w:lang w:eastAsia="en-CA"/>
              </w:rPr>
            </w:pPr>
            <w:r w:rsidRPr="006E23F0">
              <w:rPr>
                <w:color w:val="000000" w:themeColor="text1"/>
                <w:kern w:val="22"/>
                <w:szCs w:val="22"/>
                <w:lang w:eastAsia="en-CA"/>
              </w:rPr>
              <w:t>130.0</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14:paraId="0755AB35" w14:textId="77777777" w:rsidR="002B3874" w:rsidRPr="006E23F0" w:rsidRDefault="002B3874" w:rsidP="00985DB2">
            <w:pPr>
              <w:jc w:val="right"/>
              <w:rPr>
                <w:color w:val="000000"/>
                <w:kern w:val="22"/>
                <w:szCs w:val="22"/>
                <w:lang w:eastAsia="en-CA"/>
              </w:rPr>
            </w:pPr>
            <w:r w:rsidRPr="006E23F0">
              <w:rPr>
                <w:color w:val="000000"/>
                <w:kern w:val="22"/>
                <w:szCs w:val="22"/>
                <w:lang w:eastAsia="en-CA"/>
              </w:rPr>
              <w:t>130.0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C95D2F0" w14:textId="77777777" w:rsidR="002B3874" w:rsidRPr="006E23F0" w:rsidRDefault="002B3874" w:rsidP="00985DB2">
            <w:pPr>
              <w:jc w:val="right"/>
              <w:rPr>
                <w:color w:val="000000" w:themeColor="text1"/>
                <w:kern w:val="22"/>
                <w:szCs w:val="22"/>
                <w:lang w:eastAsia="en-CA"/>
              </w:rPr>
            </w:pPr>
            <w:r w:rsidRPr="006E23F0">
              <w:rPr>
                <w:color w:val="000000" w:themeColor="text1"/>
                <w:kern w:val="22"/>
                <w:szCs w:val="22"/>
                <w:lang w:eastAsia="en-CA"/>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ACA4B59" w14:textId="77777777" w:rsidR="002B3874" w:rsidRPr="006E23F0" w:rsidRDefault="002B3874" w:rsidP="00985DB2">
            <w:pPr>
              <w:jc w:val="right"/>
              <w:rPr>
                <w:color w:val="000000"/>
                <w:kern w:val="22"/>
                <w:szCs w:val="22"/>
                <w:lang w:eastAsia="en-CA"/>
              </w:rPr>
            </w:pPr>
            <w:r w:rsidRPr="006E23F0">
              <w:rPr>
                <w:color w:val="000000"/>
                <w:kern w:val="22"/>
                <w:szCs w:val="22"/>
                <w:lang w:eastAsia="en-CA"/>
              </w:rPr>
              <w:t>0.0</w:t>
            </w:r>
          </w:p>
        </w:tc>
      </w:tr>
      <w:tr w:rsidR="002B3874" w:rsidRPr="006E23F0" w14:paraId="3A7A0005" w14:textId="77777777" w:rsidTr="006E23F0">
        <w:trPr>
          <w:trHeight w:val="300"/>
          <w:jc w:val="center"/>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559A67" w14:textId="3CDDDF81" w:rsidR="002B3874" w:rsidRPr="006E23F0" w:rsidRDefault="002B3874" w:rsidP="002B3874">
            <w:pPr>
              <w:rPr>
                <w:b/>
                <w:bCs/>
                <w:color w:val="000000" w:themeColor="text1"/>
                <w:kern w:val="22"/>
                <w:szCs w:val="22"/>
                <w:lang w:val="fr-FR" w:eastAsia="en-CA"/>
              </w:rPr>
            </w:pPr>
            <w:r w:rsidRPr="006E23F0">
              <w:rPr>
                <w:b/>
                <w:bCs/>
                <w:color w:val="000000" w:themeColor="text1"/>
                <w:kern w:val="22"/>
                <w:szCs w:val="22"/>
                <w:lang w:val="fr-FR" w:eastAsia="en-CA"/>
              </w:rPr>
              <w:t xml:space="preserve">I. </w:t>
            </w:r>
            <w:r w:rsidR="004B5CAA" w:rsidRPr="006E23F0">
              <w:rPr>
                <w:b/>
                <w:bCs/>
                <w:color w:val="000000" w:themeColor="text1"/>
                <w:kern w:val="22"/>
                <w:szCs w:val="22"/>
                <w:lang w:val="fr-FR" w:eastAsia="en-CA"/>
              </w:rPr>
              <w:t>Réunions</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112F92" w14:textId="77777777" w:rsidR="002B3874" w:rsidRPr="006E23F0" w:rsidRDefault="002B3874" w:rsidP="00985DB2">
            <w:pPr>
              <w:jc w:val="right"/>
              <w:rPr>
                <w:color w:val="000000" w:themeColor="text1"/>
                <w:kern w:val="22"/>
                <w:szCs w:val="22"/>
                <w:lang w:eastAsia="en-CA"/>
              </w:rPr>
            </w:pPr>
            <w:r w:rsidRPr="006E23F0">
              <w:rPr>
                <w:color w:val="000000" w:themeColor="text1"/>
                <w:kern w:val="22"/>
                <w:szCs w:val="22"/>
                <w:lang w:eastAsia="en-CA"/>
              </w:rPr>
              <w:t>3,688.0</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14:paraId="445AB8D3" w14:textId="77777777" w:rsidR="002B3874" w:rsidRPr="006E23F0" w:rsidRDefault="002B3874" w:rsidP="00985DB2">
            <w:pPr>
              <w:jc w:val="right"/>
              <w:rPr>
                <w:color w:val="000000"/>
                <w:kern w:val="22"/>
                <w:szCs w:val="22"/>
                <w:lang w:eastAsia="en-CA"/>
              </w:rPr>
            </w:pPr>
            <w:r w:rsidRPr="006E23F0">
              <w:rPr>
                <w:color w:val="000000"/>
                <w:kern w:val="22"/>
                <w:szCs w:val="22"/>
                <w:lang w:eastAsia="en-CA"/>
              </w:rPr>
              <w:t>749.0</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77146C0" w14:textId="77777777" w:rsidR="002B3874" w:rsidRPr="006E23F0" w:rsidRDefault="002B3874" w:rsidP="00985DB2">
            <w:pPr>
              <w:jc w:val="right"/>
              <w:rPr>
                <w:color w:val="000000" w:themeColor="text1"/>
                <w:kern w:val="22"/>
                <w:szCs w:val="22"/>
                <w:lang w:eastAsia="en-CA"/>
              </w:rPr>
            </w:pPr>
            <w:r w:rsidRPr="006E23F0">
              <w:rPr>
                <w:color w:val="000000" w:themeColor="text1"/>
                <w:kern w:val="22"/>
                <w:szCs w:val="22"/>
                <w:lang w:eastAsia="en-CA"/>
              </w:rPr>
              <w:t>2,939.0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FB41441" w14:textId="77777777" w:rsidR="002B3874" w:rsidRPr="006E23F0" w:rsidRDefault="002B3874" w:rsidP="00985DB2">
            <w:pPr>
              <w:jc w:val="right"/>
              <w:rPr>
                <w:color w:val="000000"/>
                <w:kern w:val="22"/>
                <w:szCs w:val="22"/>
                <w:lang w:eastAsia="en-CA"/>
              </w:rPr>
            </w:pPr>
            <w:r w:rsidRPr="006E23F0">
              <w:rPr>
                <w:color w:val="000000"/>
                <w:kern w:val="22"/>
                <w:szCs w:val="22"/>
                <w:lang w:eastAsia="en-CA"/>
              </w:rPr>
              <w:t>0.0</w:t>
            </w:r>
          </w:p>
        </w:tc>
      </w:tr>
      <w:tr w:rsidR="002B3874" w:rsidRPr="006E23F0" w14:paraId="341F4F27" w14:textId="77777777" w:rsidTr="006E23F0">
        <w:trPr>
          <w:trHeight w:val="300"/>
          <w:jc w:val="center"/>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5F83C6" w14:textId="62BA8E38" w:rsidR="002B3874" w:rsidRPr="006E23F0" w:rsidRDefault="002B3874" w:rsidP="002B3874">
            <w:pPr>
              <w:rPr>
                <w:b/>
                <w:bCs/>
                <w:color w:val="000000" w:themeColor="text1"/>
                <w:kern w:val="22"/>
                <w:szCs w:val="22"/>
                <w:lang w:val="fr-FR" w:eastAsia="en-CA"/>
              </w:rPr>
            </w:pPr>
            <w:r w:rsidRPr="006E23F0">
              <w:rPr>
                <w:b/>
                <w:bCs/>
                <w:color w:val="000000" w:themeColor="text1"/>
                <w:kern w:val="22"/>
                <w:szCs w:val="22"/>
                <w:lang w:val="fr-FR" w:eastAsia="en-CA"/>
              </w:rPr>
              <w:t xml:space="preserve">J. </w:t>
            </w:r>
            <w:r w:rsidR="004B5CAA" w:rsidRPr="006E23F0">
              <w:rPr>
                <w:b/>
                <w:bCs/>
                <w:color w:val="000000" w:themeColor="text1"/>
                <w:kern w:val="22"/>
                <w:szCs w:val="22"/>
                <w:lang w:val="fr-FR" w:eastAsia="en-CA"/>
              </w:rPr>
              <w:t>Réunion d’experts</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4F3977" w14:textId="77777777" w:rsidR="002B3874" w:rsidRPr="006E23F0" w:rsidRDefault="002B3874" w:rsidP="00985DB2">
            <w:pPr>
              <w:jc w:val="right"/>
              <w:rPr>
                <w:color w:val="000000" w:themeColor="text1"/>
                <w:kern w:val="22"/>
                <w:szCs w:val="22"/>
                <w:lang w:eastAsia="en-CA"/>
              </w:rPr>
            </w:pPr>
            <w:r w:rsidRPr="006E23F0">
              <w:rPr>
                <w:color w:val="000000" w:themeColor="text1"/>
                <w:kern w:val="22"/>
                <w:szCs w:val="22"/>
                <w:lang w:eastAsia="en-CA"/>
              </w:rPr>
              <w:t>320.0</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14:paraId="365C71DB" w14:textId="77777777" w:rsidR="002B3874" w:rsidRPr="006E23F0" w:rsidRDefault="002B3874" w:rsidP="00985DB2">
            <w:pPr>
              <w:jc w:val="right"/>
              <w:rPr>
                <w:color w:val="000000"/>
                <w:kern w:val="22"/>
                <w:szCs w:val="22"/>
                <w:lang w:eastAsia="en-CA"/>
              </w:rPr>
            </w:pPr>
            <w:r w:rsidRPr="006E23F0">
              <w:rPr>
                <w:color w:val="000000"/>
                <w:kern w:val="22"/>
                <w:szCs w:val="22"/>
                <w:lang w:eastAsia="en-CA"/>
              </w:rPr>
              <w:t>83.7</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388C07E" w14:textId="621D64C8" w:rsidR="002B3874" w:rsidRPr="006E23F0" w:rsidRDefault="00985DB2" w:rsidP="00985DB2">
            <w:pPr>
              <w:jc w:val="right"/>
              <w:rPr>
                <w:color w:val="000000" w:themeColor="text1"/>
                <w:kern w:val="22"/>
                <w:szCs w:val="22"/>
                <w:lang w:eastAsia="en-CA"/>
              </w:rPr>
            </w:pPr>
            <w:r w:rsidRPr="006E23F0">
              <w:rPr>
                <w:color w:val="000000" w:themeColor="text1"/>
                <w:kern w:val="22"/>
                <w:szCs w:val="22"/>
                <w:lang w:eastAsia="en-CA"/>
              </w:rPr>
              <w:t>236</w:t>
            </w:r>
            <w:r w:rsidR="002B3874" w:rsidRPr="006E23F0">
              <w:rPr>
                <w:color w:val="000000" w:themeColor="text1"/>
                <w:kern w:val="22"/>
                <w:szCs w:val="22"/>
                <w:lang w:eastAsia="en-CA"/>
              </w:rPr>
              <w:t>.3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04D64C3" w14:textId="1CB02500" w:rsidR="002B3874" w:rsidRPr="006E23F0" w:rsidRDefault="00985DB2" w:rsidP="00985DB2">
            <w:pPr>
              <w:jc w:val="right"/>
              <w:rPr>
                <w:color w:val="000000"/>
                <w:kern w:val="22"/>
                <w:szCs w:val="22"/>
                <w:lang w:eastAsia="en-CA"/>
              </w:rPr>
            </w:pPr>
            <w:r w:rsidRPr="006E23F0">
              <w:rPr>
                <w:color w:val="000000"/>
                <w:kern w:val="22"/>
                <w:szCs w:val="22"/>
                <w:lang w:eastAsia="en-CA"/>
              </w:rPr>
              <w:t>0.0</w:t>
            </w:r>
            <w:r w:rsidR="002B3874" w:rsidRPr="006E23F0">
              <w:rPr>
                <w:color w:val="000000"/>
                <w:kern w:val="22"/>
                <w:szCs w:val="22"/>
                <w:lang w:eastAsia="en-CA"/>
              </w:rPr>
              <w:t>0</w:t>
            </w:r>
          </w:p>
        </w:tc>
      </w:tr>
      <w:tr w:rsidR="002B3874" w:rsidRPr="006E23F0" w14:paraId="47E54596" w14:textId="77777777" w:rsidTr="006E23F0">
        <w:trPr>
          <w:trHeight w:val="403"/>
          <w:jc w:val="center"/>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2C5B7E" w14:textId="0470C5B7" w:rsidR="002B3874" w:rsidRPr="006E23F0" w:rsidRDefault="002B3874" w:rsidP="002B3874">
            <w:pPr>
              <w:rPr>
                <w:b/>
                <w:bCs/>
                <w:color w:val="000000" w:themeColor="text1"/>
                <w:kern w:val="22"/>
                <w:szCs w:val="22"/>
                <w:lang w:val="fr-FR" w:eastAsia="en-CA"/>
              </w:rPr>
            </w:pPr>
            <w:r w:rsidRPr="006E23F0">
              <w:rPr>
                <w:b/>
                <w:bCs/>
                <w:color w:val="000000" w:themeColor="text1"/>
                <w:kern w:val="22"/>
                <w:szCs w:val="22"/>
                <w:lang w:val="fr-FR" w:eastAsia="en-CA"/>
              </w:rPr>
              <w:t xml:space="preserve">K. </w:t>
            </w:r>
            <w:r w:rsidR="004B5CAA" w:rsidRPr="006E23F0">
              <w:rPr>
                <w:b/>
                <w:bCs/>
                <w:color w:val="000000" w:themeColor="text1"/>
                <w:kern w:val="22"/>
                <w:szCs w:val="22"/>
                <w:lang w:val="fr-FR" w:eastAsia="en-CA"/>
              </w:rPr>
              <w:t xml:space="preserve">Réunions extraordinaires </w:t>
            </w:r>
            <w:r w:rsidR="00D45410" w:rsidRPr="006E23F0">
              <w:rPr>
                <w:b/>
                <w:bCs/>
                <w:color w:val="000000" w:themeColor="text1"/>
                <w:kern w:val="22"/>
                <w:szCs w:val="22"/>
                <w:lang w:val="fr-FR" w:eastAsia="en-CA"/>
              </w:rPr>
              <w:t xml:space="preserve">concernant </w:t>
            </w:r>
            <w:r w:rsidR="004B5CAA" w:rsidRPr="006E23F0">
              <w:rPr>
                <w:b/>
                <w:bCs/>
                <w:color w:val="000000" w:themeColor="text1"/>
                <w:kern w:val="22"/>
                <w:szCs w:val="22"/>
                <w:lang w:val="fr-FR" w:eastAsia="en-CA"/>
              </w:rPr>
              <w:t>l'après-2020</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BECE36" w14:textId="77777777" w:rsidR="002B3874" w:rsidRPr="006E23F0" w:rsidRDefault="002B3874" w:rsidP="00985DB2">
            <w:pPr>
              <w:jc w:val="right"/>
              <w:rPr>
                <w:color w:val="000000" w:themeColor="text1"/>
                <w:kern w:val="22"/>
                <w:szCs w:val="22"/>
                <w:lang w:eastAsia="en-CA"/>
              </w:rPr>
            </w:pPr>
            <w:r w:rsidRPr="006E23F0">
              <w:rPr>
                <w:color w:val="000000" w:themeColor="text1"/>
                <w:kern w:val="22"/>
                <w:szCs w:val="22"/>
                <w:lang w:eastAsia="en-CA"/>
              </w:rPr>
              <w:t>1,310.0</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14:paraId="22F9B480" w14:textId="77777777" w:rsidR="002B3874" w:rsidRPr="006E23F0" w:rsidRDefault="002B3874" w:rsidP="00985DB2">
            <w:pPr>
              <w:jc w:val="right"/>
              <w:rPr>
                <w:color w:val="000000"/>
                <w:kern w:val="22"/>
                <w:szCs w:val="22"/>
                <w:lang w:eastAsia="en-CA"/>
              </w:rPr>
            </w:pPr>
            <w:r w:rsidRPr="006E23F0">
              <w:rPr>
                <w:color w:val="000000"/>
                <w:kern w:val="22"/>
                <w:szCs w:val="22"/>
                <w:lang w:eastAsia="en-CA"/>
              </w:rPr>
              <w:t>1,100.0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08E65E5" w14:textId="77777777" w:rsidR="002B3874" w:rsidRPr="006E23F0" w:rsidRDefault="002B3874" w:rsidP="00985DB2">
            <w:pPr>
              <w:jc w:val="right"/>
              <w:rPr>
                <w:color w:val="000000" w:themeColor="text1"/>
                <w:kern w:val="22"/>
                <w:szCs w:val="22"/>
                <w:lang w:eastAsia="en-CA"/>
              </w:rPr>
            </w:pPr>
            <w:r w:rsidRPr="006E23F0">
              <w:rPr>
                <w:color w:val="000000" w:themeColor="text1"/>
                <w:kern w:val="22"/>
                <w:szCs w:val="22"/>
                <w:lang w:eastAsia="en-CA"/>
              </w:rPr>
              <w:t>210.0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1E7E266" w14:textId="77777777" w:rsidR="002B3874" w:rsidRPr="006E23F0" w:rsidRDefault="002B3874" w:rsidP="00985DB2">
            <w:pPr>
              <w:jc w:val="right"/>
              <w:rPr>
                <w:color w:val="000000"/>
                <w:kern w:val="22"/>
                <w:szCs w:val="22"/>
                <w:lang w:eastAsia="en-CA"/>
              </w:rPr>
            </w:pPr>
            <w:r w:rsidRPr="006E23F0">
              <w:rPr>
                <w:color w:val="000000"/>
                <w:kern w:val="22"/>
                <w:szCs w:val="22"/>
                <w:lang w:eastAsia="en-CA"/>
              </w:rPr>
              <w:t>0.0</w:t>
            </w:r>
          </w:p>
        </w:tc>
      </w:tr>
      <w:tr w:rsidR="002B3874" w:rsidRPr="006E23F0" w14:paraId="57101C86" w14:textId="77777777" w:rsidTr="006E23F0">
        <w:trPr>
          <w:trHeight w:val="300"/>
          <w:jc w:val="center"/>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AB5FDD" w14:textId="1EBCAE2D" w:rsidR="002B3874" w:rsidRPr="006E23F0" w:rsidRDefault="002B3874" w:rsidP="002B3874">
            <w:pPr>
              <w:rPr>
                <w:b/>
                <w:bCs/>
                <w:color w:val="000000" w:themeColor="text1"/>
                <w:kern w:val="22"/>
                <w:szCs w:val="22"/>
                <w:lang w:val="fr-FR" w:eastAsia="en-CA"/>
              </w:rPr>
            </w:pPr>
            <w:r w:rsidRPr="006E23F0">
              <w:rPr>
                <w:b/>
                <w:bCs/>
                <w:color w:val="000000" w:themeColor="text1"/>
                <w:kern w:val="22"/>
                <w:szCs w:val="22"/>
                <w:lang w:val="fr-FR" w:eastAsia="en-CA"/>
              </w:rPr>
              <w:t xml:space="preserve">L. </w:t>
            </w:r>
            <w:r w:rsidR="004B5CAA" w:rsidRPr="006E23F0">
              <w:rPr>
                <w:b/>
                <w:bCs/>
                <w:color w:val="000000" w:themeColor="text1"/>
                <w:kern w:val="22"/>
                <w:szCs w:val="22"/>
                <w:lang w:val="fr-FR" w:eastAsia="en-CA"/>
              </w:rPr>
              <w:t xml:space="preserve">Loyer et </w:t>
            </w:r>
            <w:r w:rsidR="00D45410" w:rsidRPr="006E23F0">
              <w:rPr>
                <w:b/>
                <w:bCs/>
                <w:color w:val="000000" w:themeColor="text1"/>
                <w:kern w:val="22"/>
                <w:szCs w:val="22"/>
                <w:lang w:val="fr-FR" w:eastAsia="en-CA"/>
              </w:rPr>
              <w:t>dépenses connexes</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8968FD" w14:textId="77777777" w:rsidR="002B3874" w:rsidRPr="006E23F0" w:rsidRDefault="002B3874" w:rsidP="00985DB2">
            <w:pPr>
              <w:jc w:val="right"/>
              <w:rPr>
                <w:color w:val="000000" w:themeColor="text1"/>
                <w:kern w:val="22"/>
                <w:szCs w:val="22"/>
                <w:lang w:eastAsia="en-CA"/>
              </w:rPr>
            </w:pPr>
            <w:r w:rsidRPr="006E23F0">
              <w:rPr>
                <w:color w:val="000000" w:themeColor="text1"/>
                <w:kern w:val="22"/>
                <w:szCs w:val="22"/>
                <w:lang w:eastAsia="en-CA"/>
              </w:rPr>
              <w:t>2,652.9</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14:paraId="408DAB98" w14:textId="77777777" w:rsidR="002B3874" w:rsidRPr="006E23F0" w:rsidRDefault="002B3874" w:rsidP="00985DB2">
            <w:pPr>
              <w:jc w:val="right"/>
              <w:rPr>
                <w:color w:val="000000"/>
                <w:kern w:val="22"/>
                <w:szCs w:val="22"/>
                <w:lang w:eastAsia="en-CA"/>
              </w:rPr>
            </w:pPr>
            <w:r w:rsidRPr="006E23F0">
              <w:rPr>
                <w:color w:val="000000"/>
                <w:kern w:val="22"/>
                <w:szCs w:val="22"/>
                <w:lang w:eastAsia="en-CA"/>
              </w:rPr>
              <w:t>2,652.9</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5FCBF76" w14:textId="77777777" w:rsidR="002B3874" w:rsidRPr="006E23F0" w:rsidRDefault="002B3874" w:rsidP="00985DB2">
            <w:pPr>
              <w:jc w:val="right"/>
              <w:rPr>
                <w:color w:val="000000" w:themeColor="text1"/>
                <w:kern w:val="22"/>
                <w:szCs w:val="22"/>
                <w:lang w:eastAsia="en-CA"/>
              </w:rPr>
            </w:pPr>
            <w:r w:rsidRPr="006E23F0">
              <w:rPr>
                <w:color w:val="000000" w:themeColor="text1"/>
                <w:kern w:val="22"/>
                <w:szCs w:val="22"/>
                <w:lang w:eastAsia="en-CA"/>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C49D228" w14:textId="77777777" w:rsidR="002B3874" w:rsidRPr="006E23F0" w:rsidRDefault="002B3874" w:rsidP="00985DB2">
            <w:pPr>
              <w:jc w:val="right"/>
              <w:rPr>
                <w:color w:val="000000"/>
                <w:kern w:val="22"/>
                <w:szCs w:val="22"/>
                <w:lang w:eastAsia="en-CA"/>
              </w:rPr>
            </w:pPr>
            <w:r w:rsidRPr="006E23F0">
              <w:rPr>
                <w:color w:val="000000"/>
                <w:kern w:val="22"/>
                <w:szCs w:val="22"/>
                <w:lang w:eastAsia="en-CA"/>
              </w:rPr>
              <w:t>0.0</w:t>
            </w:r>
          </w:p>
        </w:tc>
      </w:tr>
      <w:tr w:rsidR="002B3874" w:rsidRPr="006E23F0" w14:paraId="5919936E" w14:textId="77777777" w:rsidTr="006E23F0">
        <w:trPr>
          <w:trHeight w:val="300"/>
          <w:jc w:val="center"/>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233246" w14:textId="102C94BD" w:rsidR="002B3874" w:rsidRPr="006E23F0" w:rsidRDefault="002B3874" w:rsidP="002B3874">
            <w:pPr>
              <w:rPr>
                <w:b/>
                <w:bCs/>
                <w:color w:val="000000" w:themeColor="text1"/>
                <w:kern w:val="22"/>
                <w:szCs w:val="22"/>
                <w:lang w:val="fr-FR" w:eastAsia="en-CA"/>
              </w:rPr>
            </w:pPr>
            <w:r w:rsidRPr="006E23F0">
              <w:rPr>
                <w:b/>
                <w:bCs/>
                <w:color w:val="000000" w:themeColor="text1"/>
                <w:kern w:val="22"/>
                <w:szCs w:val="22"/>
                <w:lang w:val="fr-FR" w:eastAsia="en-CA"/>
              </w:rPr>
              <w:t xml:space="preserve">M. </w:t>
            </w:r>
            <w:r w:rsidR="004B5CAA" w:rsidRPr="006E23F0">
              <w:rPr>
                <w:b/>
                <w:bCs/>
                <w:color w:val="000000" w:themeColor="text1"/>
                <w:kern w:val="22"/>
                <w:szCs w:val="22"/>
                <w:lang w:val="fr-FR" w:eastAsia="en-CA"/>
              </w:rPr>
              <w:t>Frais généraux de fonctionnement</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4C68FF" w14:textId="77777777" w:rsidR="002B3874" w:rsidRPr="006E23F0" w:rsidRDefault="002B3874" w:rsidP="00985DB2">
            <w:pPr>
              <w:jc w:val="right"/>
              <w:rPr>
                <w:color w:val="000000" w:themeColor="text1"/>
                <w:kern w:val="22"/>
                <w:szCs w:val="22"/>
                <w:lang w:eastAsia="en-CA"/>
              </w:rPr>
            </w:pPr>
            <w:r w:rsidRPr="006E23F0">
              <w:rPr>
                <w:color w:val="000000" w:themeColor="text1"/>
                <w:kern w:val="22"/>
                <w:szCs w:val="22"/>
                <w:lang w:eastAsia="en-CA"/>
              </w:rPr>
              <w:t>1,453.2</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14:paraId="6B64AFA3" w14:textId="77777777" w:rsidR="002B3874" w:rsidRPr="006E23F0" w:rsidRDefault="002B3874" w:rsidP="00985DB2">
            <w:pPr>
              <w:jc w:val="right"/>
              <w:rPr>
                <w:color w:val="000000"/>
                <w:kern w:val="22"/>
                <w:szCs w:val="22"/>
                <w:lang w:eastAsia="en-CA"/>
              </w:rPr>
            </w:pPr>
            <w:r w:rsidRPr="006E23F0">
              <w:rPr>
                <w:color w:val="000000"/>
                <w:kern w:val="22"/>
                <w:szCs w:val="22"/>
                <w:lang w:eastAsia="en-CA"/>
              </w:rPr>
              <w:t>1,453.2</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0B2F87B" w14:textId="77777777" w:rsidR="002B3874" w:rsidRPr="006E23F0" w:rsidRDefault="002B3874" w:rsidP="00985DB2">
            <w:pPr>
              <w:jc w:val="right"/>
              <w:rPr>
                <w:color w:val="000000" w:themeColor="text1"/>
                <w:kern w:val="22"/>
                <w:szCs w:val="22"/>
                <w:lang w:eastAsia="en-CA"/>
              </w:rPr>
            </w:pPr>
            <w:r w:rsidRPr="006E23F0">
              <w:rPr>
                <w:color w:val="000000" w:themeColor="text1"/>
                <w:kern w:val="22"/>
                <w:szCs w:val="22"/>
                <w:lang w:eastAsia="en-CA"/>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CF333DE" w14:textId="77777777" w:rsidR="002B3874" w:rsidRPr="006E23F0" w:rsidRDefault="002B3874" w:rsidP="00985DB2">
            <w:pPr>
              <w:jc w:val="right"/>
              <w:rPr>
                <w:color w:val="000000"/>
                <w:kern w:val="22"/>
                <w:szCs w:val="22"/>
                <w:lang w:eastAsia="en-CA"/>
              </w:rPr>
            </w:pPr>
            <w:r w:rsidRPr="006E23F0">
              <w:rPr>
                <w:color w:val="000000"/>
                <w:kern w:val="22"/>
                <w:szCs w:val="22"/>
                <w:lang w:eastAsia="en-CA"/>
              </w:rPr>
              <w:t>0.0</w:t>
            </w:r>
          </w:p>
        </w:tc>
      </w:tr>
      <w:tr w:rsidR="002B3874" w:rsidRPr="006E23F0" w14:paraId="6D31DC3A" w14:textId="77777777" w:rsidTr="006E23F0">
        <w:trPr>
          <w:trHeight w:val="300"/>
          <w:jc w:val="center"/>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39BD40" w14:textId="2FD739F8" w:rsidR="002B3874" w:rsidRPr="006E23F0" w:rsidRDefault="004B5CAA" w:rsidP="002B3874">
            <w:pPr>
              <w:rPr>
                <w:b/>
                <w:bCs/>
                <w:color w:val="000000" w:themeColor="text1"/>
                <w:kern w:val="22"/>
                <w:szCs w:val="22"/>
                <w:lang w:val="fr-FR" w:eastAsia="en-CA"/>
              </w:rPr>
            </w:pPr>
            <w:r w:rsidRPr="006E23F0">
              <w:rPr>
                <w:b/>
                <w:bCs/>
                <w:color w:val="000000" w:themeColor="text1"/>
                <w:kern w:val="22"/>
                <w:szCs w:val="22"/>
                <w:lang w:val="fr-FR" w:eastAsia="en-CA"/>
              </w:rPr>
              <w:t>Sous-total (I)</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1E155E" w14:textId="77777777" w:rsidR="002B3874" w:rsidRPr="006E23F0" w:rsidRDefault="002B3874" w:rsidP="00985DB2">
            <w:pPr>
              <w:jc w:val="right"/>
              <w:rPr>
                <w:b/>
                <w:bCs/>
                <w:color w:val="000000" w:themeColor="text1"/>
                <w:kern w:val="22"/>
                <w:szCs w:val="22"/>
                <w:lang w:eastAsia="en-CA"/>
              </w:rPr>
            </w:pPr>
            <w:r w:rsidRPr="006E23F0">
              <w:rPr>
                <w:b/>
                <w:bCs/>
                <w:color w:val="000000" w:themeColor="text1"/>
                <w:kern w:val="22"/>
                <w:szCs w:val="22"/>
                <w:lang w:eastAsia="en-CA"/>
              </w:rPr>
              <w:t>34,209.6</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14:paraId="44269E2D" w14:textId="77777777" w:rsidR="002B3874" w:rsidRPr="006E23F0" w:rsidRDefault="002B3874" w:rsidP="00985DB2">
            <w:pPr>
              <w:jc w:val="right"/>
              <w:rPr>
                <w:b/>
                <w:bCs/>
                <w:color w:val="000000"/>
                <w:kern w:val="22"/>
                <w:szCs w:val="22"/>
                <w:lang w:eastAsia="en-CA"/>
              </w:rPr>
            </w:pPr>
            <w:r w:rsidRPr="006E23F0">
              <w:rPr>
                <w:b/>
                <w:bCs/>
                <w:color w:val="000000"/>
                <w:kern w:val="22"/>
                <w:szCs w:val="22"/>
                <w:lang w:eastAsia="en-CA"/>
              </w:rPr>
              <w:t>27,438.4</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88EF4D3" w14:textId="2C882A66" w:rsidR="002B3874" w:rsidRPr="006E23F0" w:rsidRDefault="002B3874" w:rsidP="00985DB2">
            <w:pPr>
              <w:jc w:val="right"/>
              <w:rPr>
                <w:b/>
                <w:bCs/>
                <w:color w:val="000000" w:themeColor="text1"/>
                <w:kern w:val="22"/>
                <w:szCs w:val="22"/>
                <w:lang w:eastAsia="en-CA"/>
              </w:rPr>
            </w:pPr>
            <w:r w:rsidRPr="006E23F0">
              <w:rPr>
                <w:b/>
                <w:bCs/>
                <w:color w:val="000000" w:themeColor="text1"/>
                <w:kern w:val="22"/>
                <w:szCs w:val="22"/>
                <w:lang w:eastAsia="en-CA"/>
              </w:rPr>
              <w:t>3,5</w:t>
            </w:r>
            <w:r w:rsidR="00985DB2" w:rsidRPr="006E23F0">
              <w:rPr>
                <w:b/>
                <w:bCs/>
                <w:color w:val="000000" w:themeColor="text1"/>
                <w:kern w:val="22"/>
                <w:szCs w:val="22"/>
                <w:lang w:eastAsia="en-CA"/>
              </w:rPr>
              <w:t>5</w:t>
            </w:r>
            <w:r w:rsidRPr="006E23F0">
              <w:rPr>
                <w:b/>
                <w:bCs/>
                <w:color w:val="000000" w:themeColor="text1"/>
                <w:kern w:val="22"/>
                <w:szCs w:val="22"/>
                <w:lang w:eastAsia="en-CA"/>
              </w:rPr>
              <w:t>0.3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F52F947" w14:textId="7ECF43C6" w:rsidR="002B3874" w:rsidRPr="006E23F0" w:rsidRDefault="002B3874" w:rsidP="00985DB2">
            <w:pPr>
              <w:jc w:val="right"/>
              <w:rPr>
                <w:b/>
                <w:bCs/>
                <w:color w:val="000000"/>
                <w:kern w:val="22"/>
                <w:szCs w:val="22"/>
                <w:lang w:eastAsia="en-CA"/>
              </w:rPr>
            </w:pPr>
            <w:r w:rsidRPr="006E23F0">
              <w:rPr>
                <w:b/>
                <w:bCs/>
                <w:color w:val="000000"/>
                <w:kern w:val="22"/>
                <w:szCs w:val="22"/>
                <w:lang w:eastAsia="en-CA"/>
              </w:rPr>
              <w:t>3,</w:t>
            </w:r>
            <w:r w:rsidR="00985DB2" w:rsidRPr="006E23F0">
              <w:rPr>
                <w:b/>
                <w:bCs/>
                <w:color w:val="000000"/>
                <w:kern w:val="22"/>
                <w:szCs w:val="22"/>
                <w:lang w:eastAsia="en-CA"/>
              </w:rPr>
              <w:t>220</w:t>
            </w:r>
            <w:r w:rsidRPr="006E23F0">
              <w:rPr>
                <w:b/>
                <w:bCs/>
                <w:color w:val="000000"/>
                <w:kern w:val="22"/>
                <w:szCs w:val="22"/>
                <w:lang w:eastAsia="en-CA"/>
              </w:rPr>
              <w:t>.9</w:t>
            </w:r>
          </w:p>
        </w:tc>
      </w:tr>
      <w:tr w:rsidR="002B3874" w:rsidRPr="006E23F0" w14:paraId="5665C340" w14:textId="77777777" w:rsidTr="006E23F0">
        <w:trPr>
          <w:trHeight w:val="300"/>
          <w:jc w:val="center"/>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DA8931" w14:textId="0442E3B0" w:rsidR="002B3874" w:rsidRPr="006E23F0" w:rsidRDefault="002B3874" w:rsidP="002B3874">
            <w:pPr>
              <w:rPr>
                <w:b/>
                <w:bCs/>
                <w:color w:val="000000" w:themeColor="text1"/>
                <w:kern w:val="22"/>
                <w:szCs w:val="22"/>
                <w:lang w:val="fr-FR" w:eastAsia="en-CA"/>
              </w:rPr>
            </w:pPr>
            <w:r w:rsidRPr="006E23F0">
              <w:rPr>
                <w:b/>
                <w:bCs/>
                <w:color w:val="000000" w:themeColor="text1"/>
                <w:kern w:val="22"/>
                <w:szCs w:val="22"/>
                <w:lang w:val="fr-FR" w:eastAsia="en-CA"/>
              </w:rPr>
              <w:t xml:space="preserve">II. </w:t>
            </w:r>
            <w:r w:rsidR="004F5699" w:rsidRPr="006E23F0">
              <w:rPr>
                <w:b/>
                <w:bCs/>
                <w:color w:val="000000" w:themeColor="text1"/>
                <w:kern w:val="22"/>
                <w:szCs w:val="22"/>
                <w:lang w:val="fr-FR" w:eastAsia="en-CA"/>
              </w:rPr>
              <w:t>Dépenses d’appui</w:t>
            </w:r>
            <w:r w:rsidR="004B5CAA" w:rsidRPr="006E23F0">
              <w:rPr>
                <w:b/>
                <w:bCs/>
                <w:color w:val="000000" w:themeColor="text1"/>
                <w:kern w:val="22"/>
                <w:szCs w:val="22"/>
                <w:lang w:val="fr-FR" w:eastAsia="en-CA"/>
              </w:rPr>
              <w:t xml:space="preserve"> au programme (13%)</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CDFAD6" w14:textId="77777777" w:rsidR="002B3874" w:rsidRPr="006E23F0" w:rsidRDefault="002B3874" w:rsidP="00985DB2">
            <w:pPr>
              <w:jc w:val="right"/>
              <w:rPr>
                <w:b/>
                <w:bCs/>
                <w:color w:val="000000" w:themeColor="text1"/>
                <w:kern w:val="22"/>
                <w:szCs w:val="22"/>
                <w:lang w:eastAsia="en-CA"/>
              </w:rPr>
            </w:pPr>
            <w:r w:rsidRPr="006E23F0">
              <w:rPr>
                <w:b/>
                <w:bCs/>
                <w:color w:val="000000" w:themeColor="text1"/>
                <w:kern w:val="22"/>
                <w:szCs w:val="22"/>
                <w:lang w:eastAsia="en-CA"/>
              </w:rPr>
              <w:t>4,447.2</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14:paraId="371CBC02" w14:textId="77777777" w:rsidR="002B3874" w:rsidRPr="006E23F0" w:rsidRDefault="002B3874" w:rsidP="00985DB2">
            <w:pPr>
              <w:jc w:val="right"/>
              <w:rPr>
                <w:b/>
                <w:bCs/>
                <w:color w:val="000000"/>
                <w:kern w:val="22"/>
                <w:szCs w:val="22"/>
                <w:lang w:eastAsia="en-CA"/>
              </w:rPr>
            </w:pPr>
            <w:r w:rsidRPr="006E23F0">
              <w:rPr>
                <w:b/>
                <w:bCs/>
                <w:color w:val="000000"/>
                <w:kern w:val="22"/>
                <w:szCs w:val="22"/>
                <w:lang w:eastAsia="en-CA"/>
              </w:rPr>
              <w:t>3,567.0</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4657184" w14:textId="7067F006" w:rsidR="002B3874" w:rsidRPr="006E23F0" w:rsidRDefault="00985DB2" w:rsidP="00985DB2">
            <w:pPr>
              <w:jc w:val="right"/>
              <w:rPr>
                <w:b/>
                <w:bCs/>
                <w:color w:val="000000" w:themeColor="text1"/>
                <w:kern w:val="22"/>
                <w:szCs w:val="22"/>
                <w:lang w:eastAsia="en-CA"/>
              </w:rPr>
            </w:pPr>
            <w:r w:rsidRPr="006E23F0">
              <w:rPr>
                <w:b/>
                <w:bCs/>
                <w:color w:val="000000" w:themeColor="text1"/>
                <w:kern w:val="22"/>
                <w:szCs w:val="22"/>
                <w:lang w:eastAsia="en-CA"/>
              </w:rPr>
              <w:t>461.5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2C0B829" w14:textId="5E700200" w:rsidR="002B3874" w:rsidRPr="006E23F0" w:rsidRDefault="00985DB2" w:rsidP="00985DB2">
            <w:pPr>
              <w:jc w:val="right"/>
              <w:rPr>
                <w:b/>
                <w:bCs/>
                <w:color w:val="000000"/>
                <w:kern w:val="22"/>
                <w:szCs w:val="22"/>
                <w:lang w:eastAsia="en-CA"/>
              </w:rPr>
            </w:pPr>
            <w:r w:rsidRPr="006E23F0">
              <w:rPr>
                <w:b/>
                <w:bCs/>
                <w:color w:val="000000"/>
                <w:kern w:val="22"/>
                <w:szCs w:val="22"/>
                <w:lang w:eastAsia="en-CA"/>
              </w:rPr>
              <w:t>418.7</w:t>
            </w:r>
          </w:p>
        </w:tc>
      </w:tr>
      <w:tr w:rsidR="002B3874" w:rsidRPr="006E23F0" w14:paraId="38D69872" w14:textId="77777777" w:rsidTr="006E23F0">
        <w:trPr>
          <w:trHeight w:val="300"/>
          <w:jc w:val="center"/>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005D99" w14:textId="2E0D40B4" w:rsidR="002B3874" w:rsidRPr="006E23F0" w:rsidRDefault="004B5CAA" w:rsidP="002B3874">
            <w:pPr>
              <w:rPr>
                <w:b/>
                <w:bCs/>
                <w:color w:val="000000" w:themeColor="text1"/>
                <w:kern w:val="22"/>
                <w:szCs w:val="22"/>
                <w:lang w:val="fr-FR" w:eastAsia="en-CA"/>
              </w:rPr>
            </w:pPr>
            <w:r w:rsidRPr="006E23F0">
              <w:rPr>
                <w:b/>
                <w:bCs/>
                <w:color w:val="000000" w:themeColor="text1"/>
                <w:kern w:val="22"/>
                <w:szCs w:val="22"/>
                <w:lang w:val="fr-FR" w:eastAsia="en-CA"/>
              </w:rPr>
              <w:t>Sous-total</w:t>
            </w:r>
            <w:r w:rsidR="002B3874" w:rsidRPr="006E23F0">
              <w:rPr>
                <w:b/>
                <w:bCs/>
                <w:color w:val="000000" w:themeColor="text1"/>
                <w:kern w:val="22"/>
                <w:szCs w:val="22"/>
                <w:lang w:val="fr-FR" w:eastAsia="en-CA"/>
              </w:rPr>
              <w:t xml:space="preserve"> (I + II)</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366E9" w14:textId="77777777" w:rsidR="002B3874" w:rsidRPr="006E23F0" w:rsidRDefault="002B3874" w:rsidP="00985DB2">
            <w:pPr>
              <w:jc w:val="right"/>
              <w:rPr>
                <w:b/>
                <w:bCs/>
                <w:color w:val="000000" w:themeColor="text1"/>
                <w:kern w:val="22"/>
                <w:szCs w:val="22"/>
                <w:lang w:eastAsia="en-CA"/>
              </w:rPr>
            </w:pPr>
            <w:r w:rsidRPr="006E23F0">
              <w:rPr>
                <w:b/>
                <w:bCs/>
                <w:color w:val="000000" w:themeColor="text1"/>
                <w:kern w:val="22"/>
                <w:szCs w:val="22"/>
                <w:lang w:eastAsia="en-CA"/>
              </w:rPr>
              <w:t>38,656.8</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14:paraId="095FD88E" w14:textId="77777777" w:rsidR="002B3874" w:rsidRPr="006E23F0" w:rsidRDefault="002B3874" w:rsidP="00985DB2">
            <w:pPr>
              <w:jc w:val="right"/>
              <w:rPr>
                <w:b/>
                <w:bCs/>
                <w:color w:val="000000"/>
                <w:kern w:val="22"/>
                <w:szCs w:val="22"/>
                <w:lang w:eastAsia="en-CA"/>
              </w:rPr>
            </w:pPr>
            <w:r w:rsidRPr="006E23F0">
              <w:rPr>
                <w:b/>
                <w:bCs/>
                <w:color w:val="000000"/>
                <w:kern w:val="22"/>
                <w:szCs w:val="22"/>
                <w:lang w:eastAsia="en-CA"/>
              </w:rPr>
              <w:t>31,005.4</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D03863E" w14:textId="0A09A287" w:rsidR="002B3874" w:rsidRPr="006E23F0" w:rsidRDefault="00985DB2" w:rsidP="00985DB2">
            <w:pPr>
              <w:jc w:val="right"/>
              <w:rPr>
                <w:b/>
                <w:bCs/>
                <w:color w:val="000000" w:themeColor="text1"/>
                <w:kern w:val="22"/>
                <w:szCs w:val="22"/>
                <w:lang w:eastAsia="en-CA"/>
              </w:rPr>
            </w:pPr>
            <w:r w:rsidRPr="006E23F0">
              <w:rPr>
                <w:b/>
                <w:bCs/>
                <w:color w:val="000000" w:themeColor="text1"/>
                <w:kern w:val="22"/>
                <w:szCs w:val="22"/>
                <w:lang w:eastAsia="en-CA"/>
              </w:rPr>
              <w:t>4,011.8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B41DD60" w14:textId="2EACD76E" w:rsidR="002B3874" w:rsidRPr="006E23F0" w:rsidRDefault="00985DB2" w:rsidP="00985DB2">
            <w:pPr>
              <w:jc w:val="right"/>
              <w:rPr>
                <w:b/>
                <w:bCs/>
                <w:color w:val="000000"/>
                <w:kern w:val="22"/>
                <w:szCs w:val="22"/>
                <w:lang w:eastAsia="en-CA"/>
              </w:rPr>
            </w:pPr>
            <w:r w:rsidRPr="006E23F0">
              <w:rPr>
                <w:b/>
                <w:bCs/>
                <w:color w:val="000000"/>
                <w:kern w:val="22"/>
                <w:szCs w:val="22"/>
                <w:lang w:eastAsia="en-CA"/>
              </w:rPr>
              <w:t>3,639.6</w:t>
            </w:r>
          </w:p>
        </w:tc>
      </w:tr>
      <w:tr w:rsidR="002B3874" w:rsidRPr="006E23F0" w14:paraId="03C16DBC" w14:textId="77777777" w:rsidTr="006E23F0">
        <w:trPr>
          <w:trHeight w:val="300"/>
          <w:jc w:val="center"/>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A32ED3" w14:textId="1FA07DBF" w:rsidR="002B3874" w:rsidRPr="006E23F0" w:rsidRDefault="002B3874" w:rsidP="002B3874">
            <w:pPr>
              <w:rPr>
                <w:b/>
                <w:bCs/>
                <w:color w:val="000000" w:themeColor="text1"/>
                <w:kern w:val="22"/>
                <w:szCs w:val="22"/>
                <w:lang w:val="fr-FR" w:eastAsia="en-CA"/>
              </w:rPr>
            </w:pPr>
            <w:r w:rsidRPr="006E23F0">
              <w:rPr>
                <w:b/>
                <w:bCs/>
                <w:color w:val="000000" w:themeColor="text1"/>
                <w:kern w:val="22"/>
                <w:szCs w:val="22"/>
                <w:lang w:val="fr-FR" w:eastAsia="en-CA"/>
              </w:rPr>
              <w:t xml:space="preserve">III. </w:t>
            </w:r>
            <w:r w:rsidR="004B5CAA" w:rsidRPr="006E23F0">
              <w:rPr>
                <w:b/>
                <w:bCs/>
                <w:color w:val="000000" w:themeColor="text1"/>
                <w:kern w:val="22"/>
                <w:szCs w:val="22"/>
                <w:lang w:val="fr-FR" w:eastAsia="en-CA"/>
              </w:rPr>
              <w:t xml:space="preserve">Réserve </w:t>
            </w:r>
            <w:r w:rsidR="002E03FB" w:rsidRPr="006E23F0">
              <w:rPr>
                <w:b/>
                <w:bCs/>
                <w:color w:val="000000" w:themeColor="text1"/>
                <w:kern w:val="22"/>
                <w:szCs w:val="22"/>
                <w:lang w:val="fr-FR" w:eastAsia="en-CA"/>
              </w:rPr>
              <w:t>de trésorerie</w:t>
            </w:r>
            <w:r w:rsidR="004B5CAA" w:rsidRPr="006E23F0">
              <w:rPr>
                <w:b/>
                <w:bCs/>
                <w:color w:val="000000" w:themeColor="text1"/>
                <w:kern w:val="22"/>
                <w:szCs w:val="22"/>
                <w:lang w:val="fr-FR" w:eastAsia="en-CA"/>
              </w:rPr>
              <w:t xml:space="preserve"> </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480D39" w14:textId="77777777" w:rsidR="002B3874" w:rsidRPr="006E23F0" w:rsidRDefault="002B3874" w:rsidP="00985DB2">
            <w:pPr>
              <w:jc w:val="right"/>
              <w:rPr>
                <w:color w:val="000000" w:themeColor="text1"/>
                <w:kern w:val="22"/>
                <w:szCs w:val="22"/>
                <w:lang w:eastAsia="en-CA"/>
              </w:rPr>
            </w:pPr>
            <w:r w:rsidRPr="006E23F0">
              <w:rPr>
                <w:color w:val="000000" w:themeColor="text1"/>
                <w:kern w:val="22"/>
                <w:szCs w:val="22"/>
                <w:lang w:eastAsia="en-CA"/>
              </w:rPr>
              <w:t>187.3</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14:paraId="0D3022DF" w14:textId="77777777" w:rsidR="002B3874" w:rsidRPr="006E23F0" w:rsidRDefault="002B3874" w:rsidP="00985DB2">
            <w:pPr>
              <w:jc w:val="right"/>
              <w:rPr>
                <w:color w:val="000000"/>
                <w:kern w:val="22"/>
                <w:szCs w:val="22"/>
                <w:lang w:eastAsia="en-CA"/>
              </w:rPr>
            </w:pPr>
            <w:r w:rsidRPr="006E23F0">
              <w:rPr>
                <w:color w:val="000000"/>
                <w:kern w:val="22"/>
                <w:szCs w:val="22"/>
                <w:lang w:eastAsia="en-CA"/>
              </w:rPr>
              <w:t>187.3</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AB66C5A" w14:textId="77777777" w:rsidR="002B3874" w:rsidRPr="006E23F0" w:rsidRDefault="002B3874" w:rsidP="00985DB2">
            <w:pPr>
              <w:jc w:val="right"/>
              <w:rPr>
                <w:color w:val="000000" w:themeColor="text1"/>
                <w:kern w:val="22"/>
                <w:szCs w:val="22"/>
                <w:lang w:eastAsia="en-CA"/>
              </w:rPr>
            </w:pPr>
            <w:r w:rsidRPr="006E23F0">
              <w:rPr>
                <w:color w:val="000000" w:themeColor="text1"/>
                <w:kern w:val="22"/>
                <w:szCs w:val="22"/>
                <w:lang w:eastAsia="en-CA"/>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3677A09" w14:textId="77777777" w:rsidR="002B3874" w:rsidRPr="006E23F0" w:rsidRDefault="002B3874" w:rsidP="00985DB2">
            <w:pPr>
              <w:jc w:val="right"/>
              <w:rPr>
                <w:color w:val="000000"/>
                <w:kern w:val="22"/>
                <w:szCs w:val="22"/>
                <w:lang w:eastAsia="en-CA"/>
              </w:rPr>
            </w:pPr>
            <w:r w:rsidRPr="006E23F0">
              <w:rPr>
                <w:color w:val="000000"/>
                <w:kern w:val="22"/>
                <w:szCs w:val="22"/>
                <w:lang w:eastAsia="en-CA"/>
              </w:rPr>
              <w:t> </w:t>
            </w:r>
          </w:p>
        </w:tc>
      </w:tr>
      <w:tr w:rsidR="002B3874" w:rsidRPr="006E23F0" w14:paraId="3C2197CA" w14:textId="77777777" w:rsidTr="006E23F0">
        <w:trPr>
          <w:trHeight w:val="300"/>
          <w:jc w:val="center"/>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9B7D32" w14:textId="4A3ED953" w:rsidR="002B3874" w:rsidRPr="006E23F0" w:rsidRDefault="0071042E" w:rsidP="002B3874">
            <w:pPr>
              <w:rPr>
                <w:b/>
                <w:bCs/>
                <w:color w:val="000000" w:themeColor="text1"/>
                <w:kern w:val="22"/>
                <w:szCs w:val="22"/>
                <w:lang w:val="fr-FR" w:eastAsia="en-CA"/>
              </w:rPr>
            </w:pPr>
            <w:r w:rsidRPr="006E23F0">
              <w:rPr>
                <w:b/>
                <w:bCs/>
                <w:color w:val="000000" w:themeColor="text1"/>
                <w:kern w:val="22"/>
                <w:szCs w:val="22"/>
                <w:lang w:val="fr-FR" w:eastAsia="en-CA"/>
              </w:rPr>
              <w:t>Total (</w:t>
            </w:r>
            <w:r w:rsidR="002B3874" w:rsidRPr="006E23F0">
              <w:rPr>
                <w:b/>
                <w:bCs/>
                <w:color w:val="000000" w:themeColor="text1"/>
                <w:kern w:val="22"/>
                <w:szCs w:val="22"/>
                <w:lang w:val="fr-FR" w:eastAsia="en-CA"/>
              </w:rPr>
              <w:t>I + II + II)</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1EADF9" w14:textId="77777777" w:rsidR="002B3874" w:rsidRPr="006E23F0" w:rsidRDefault="002B3874" w:rsidP="00985DB2">
            <w:pPr>
              <w:jc w:val="right"/>
              <w:rPr>
                <w:b/>
                <w:bCs/>
                <w:color w:val="000000" w:themeColor="text1"/>
                <w:kern w:val="22"/>
                <w:szCs w:val="22"/>
                <w:lang w:eastAsia="en-CA"/>
              </w:rPr>
            </w:pPr>
            <w:r w:rsidRPr="006E23F0">
              <w:rPr>
                <w:b/>
                <w:bCs/>
                <w:color w:val="000000" w:themeColor="text1"/>
                <w:kern w:val="22"/>
                <w:szCs w:val="22"/>
                <w:lang w:eastAsia="en-CA"/>
              </w:rPr>
              <w:t>38,844.1</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14:paraId="1A04F5E3" w14:textId="77777777" w:rsidR="002B3874" w:rsidRPr="006E23F0" w:rsidRDefault="002B3874" w:rsidP="00985DB2">
            <w:pPr>
              <w:jc w:val="right"/>
              <w:rPr>
                <w:b/>
                <w:bCs/>
                <w:color w:val="000000"/>
                <w:kern w:val="22"/>
                <w:szCs w:val="22"/>
                <w:lang w:eastAsia="en-CA"/>
              </w:rPr>
            </w:pPr>
            <w:r w:rsidRPr="006E23F0">
              <w:rPr>
                <w:b/>
                <w:bCs/>
                <w:color w:val="000000"/>
                <w:kern w:val="22"/>
                <w:szCs w:val="22"/>
                <w:lang w:eastAsia="en-CA"/>
              </w:rPr>
              <w:t>31,192.7</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B59C36E" w14:textId="37D16E41" w:rsidR="002B3874" w:rsidRPr="006E23F0" w:rsidRDefault="00985DB2" w:rsidP="00985DB2">
            <w:pPr>
              <w:jc w:val="right"/>
              <w:rPr>
                <w:b/>
                <w:bCs/>
                <w:color w:val="000000" w:themeColor="text1"/>
                <w:kern w:val="22"/>
                <w:szCs w:val="22"/>
                <w:lang w:eastAsia="en-CA"/>
              </w:rPr>
            </w:pPr>
            <w:r w:rsidRPr="006E23F0">
              <w:rPr>
                <w:b/>
                <w:bCs/>
                <w:color w:val="000000" w:themeColor="text1"/>
                <w:kern w:val="22"/>
                <w:szCs w:val="22"/>
                <w:lang w:eastAsia="en-CA"/>
              </w:rPr>
              <w:t>4,011.8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DAB351E" w14:textId="787F7E8A" w:rsidR="002B3874" w:rsidRPr="006E23F0" w:rsidRDefault="00985DB2" w:rsidP="00985DB2">
            <w:pPr>
              <w:jc w:val="right"/>
              <w:rPr>
                <w:b/>
                <w:bCs/>
                <w:color w:val="000000"/>
                <w:kern w:val="22"/>
                <w:szCs w:val="22"/>
                <w:lang w:eastAsia="en-CA"/>
              </w:rPr>
            </w:pPr>
            <w:r w:rsidRPr="006E23F0">
              <w:rPr>
                <w:b/>
                <w:bCs/>
                <w:color w:val="000000"/>
                <w:kern w:val="22"/>
                <w:szCs w:val="22"/>
                <w:lang w:eastAsia="en-CA"/>
              </w:rPr>
              <w:t>3,639.6</w:t>
            </w:r>
          </w:p>
        </w:tc>
      </w:tr>
    </w:tbl>
    <w:p w14:paraId="6E2CE880" w14:textId="77777777" w:rsidR="00986C70" w:rsidRPr="000322A9" w:rsidRDefault="00986C70" w:rsidP="00986C70">
      <w:pPr>
        <w:pStyle w:val="ListParagraph"/>
        <w:spacing w:before="120" w:after="120"/>
        <w:ind w:left="0"/>
        <w:rPr>
          <w:i/>
          <w:iCs/>
          <w:kern w:val="22"/>
          <w:szCs w:val="22"/>
        </w:rPr>
      </w:pPr>
    </w:p>
    <w:p w14:paraId="1785C45A" w14:textId="42FEE7B9" w:rsidR="007871E1" w:rsidRPr="00607DB6" w:rsidRDefault="00607DB6" w:rsidP="00607DB6">
      <w:pPr>
        <w:spacing w:before="120" w:after="120"/>
        <w:jc w:val="center"/>
        <w:rPr>
          <w:b/>
          <w:bCs/>
          <w:kern w:val="22"/>
          <w:szCs w:val="22"/>
          <w:lang w:val="fr-FR"/>
        </w:rPr>
      </w:pPr>
      <w:r>
        <w:rPr>
          <w:b/>
          <w:bCs/>
          <w:kern w:val="22"/>
          <w:szCs w:val="22"/>
          <w:lang w:val="fr-FR"/>
        </w:rPr>
        <w:t xml:space="preserve">C. </w:t>
      </w:r>
      <w:r w:rsidR="00FE0797" w:rsidRPr="00607DB6">
        <w:rPr>
          <w:b/>
          <w:bCs/>
          <w:kern w:val="22"/>
          <w:szCs w:val="22"/>
          <w:lang w:val="fr-FR"/>
        </w:rPr>
        <w:t>Réserves de trésorerie au 31 décembre 2020</w:t>
      </w:r>
    </w:p>
    <w:p w14:paraId="1B8C3B36" w14:textId="5EDA0ADE" w:rsidR="00667E82" w:rsidRPr="005B4EF3" w:rsidRDefault="00084E4F" w:rsidP="00084E4F">
      <w:pPr>
        <w:pStyle w:val="ListParagraph"/>
        <w:spacing w:before="120" w:after="120"/>
        <w:ind w:left="0"/>
        <w:contextualSpacing w:val="0"/>
        <w:rPr>
          <w:iCs/>
          <w:kern w:val="22"/>
          <w:lang w:val="fr-FR"/>
        </w:rPr>
      </w:pPr>
      <w:r>
        <w:rPr>
          <w:iCs/>
          <w:kern w:val="22"/>
          <w:lang w:val="fr-FR"/>
        </w:rPr>
        <w:t xml:space="preserve">11. </w:t>
      </w:r>
      <w:r>
        <w:rPr>
          <w:iCs/>
          <w:kern w:val="22"/>
          <w:lang w:val="fr-FR"/>
        </w:rPr>
        <w:tab/>
      </w:r>
      <w:r w:rsidR="005B4EF3" w:rsidRPr="005B4EF3">
        <w:rPr>
          <w:iCs/>
          <w:kern w:val="22"/>
          <w:lang w:val="fr-FR"/>
        </w:rPr>
        <w:t>La réserve</w:t>
      </w:r>
      <w:r w:rsidR="00661C5B">
        <w:rPr>
          <w:iCs/>
          <w:kern w:val="22"/>
          <w:lang w:val="fr-FR"/>
        </w:rPr>
        <w:t xml:space="preserve"> de</w:t>
      </w:r>
      <w:r w:rsidR="005B4EF3" w:rsidRPr="005B4EF3">
        <w:rPr>
          <w:iCs/>
          <w:kern w:val="22"/>
          <w:lang w:val="fr-FR"/>
        </w:rPr>
        <w:t xml:space="preserve"> </w:t>
      </w:r>
      <w:r w:rsidR="000E245E">
        <w:rPr>
          <w:iCs/>
          <w:kern w:val="22"/>
          <w:lang w:val="fr-FR"/>
        </w:rPr>
        <w:t>trésorerie</w:t>
      </w:r>
      <w:r w:rsidR="005B4EF3" w:rsidRPr="005B4EF3">
        <w:rPr>
          <w:iCs/>
          <w:kern w:val="22"/>
          <w:lang w:val="fr-FR"/>
        </w:rPr>
        <w:t xml:space="preserve"> est calculée cumulativement pour chaque exercice biennal de sorte que le total de la réserve équivaut à 15 </w:t>
      </w:r>
      <w:r w:rsidR="00EB7666">
        <w:rPr>
          <w:iCs/>
          <w:kern w:val="22"/>
          <w:lang w:val="fr-FR"/>
        </w:rPr>
        <w:t xml:space="preserve">pour cent </w:t>
      </w:r>
      <w:r w:rsidR="005B4EF3" w:rsidRPr="005B4EF3">
        <w:rPr>
          <w:iCs/>
          <w:kern w:val="22"/>
          <w:lang w:val="fr-FR"/>
        </w:rPr>
        <w:t xml:space="preserve">des dépenses annuelles estimées, y compris les dépenses d'appui aux programmes. Le niveau de la réserve de </w:t>
      </w:r>
      <w:r w:rsidR="00661C5B">
        <w:rPr>
          <w:iCs/>
          <w:kern w:val="22"/>
          <w:lang w:val="fr-FR"/>
        </w:rPr>
        <w:t xml:space="preserve">trésorerie </w:t>
      </w:r>
      <w:r w:rsidR="005B4EF3" w:rsidRPr="005B4EF3">
        <w:rPr>
          <w:iCs/>
          <w:kern w:val="22"/>
          <w:lang w:val="fr-FR"/>
        </w:rPr>
        <w:t>a été porté de 7,5</w:t>
      </w:r>
      <w:r w:rsidR="00EB7666">
        <w:rPr>
          <w:iCs/>
          <w:kern w:val="22"/>
          <w:lang w:val="fr-FR"/>
        </w:rPr>
        <w:t xml:space="preserve"> pour cent</w:t>
      </w:r>
      <w:r w:rsidR="005B4EF3" w:rsidRPr="005B4EF3">
        <w:rPr>
          <w:iCs/>
          <w:kern w:val="22"/>
          <w:lang w:val="fr-FR"/>
        </w:rPr>
        <w:t xml:space="preserve"> à 15 </w:t>
      </w:r>
      <w:r w:rsidR="00EB7666">
        <w:rPr>
          <w:iCs/>
          <w:kern w:val="22"/>
          <w:lang w:val="fr-FR"/>
        </w:rPr>
        <w:t>pour cent</w:t>
      </w:r>
      <w:r w:rsidR="005B4EF3" w:rsidRPr="005B4EF3">
        <w:rPr>
          <w:iCs/>
          <w:kern w:val="22"/>
          <w:lang w:val="fr-FR"/>
        </w:rPr>
        <w:t xml:space="preserve"> à partir de l'exercice biennal 2019-2020 à la suite de la recommandation du Bureau des </w:t>
      </w:r>
      <w:r w:rsidR="00DF2039">
        <w:rPr>
          <w:iCs/>
          <w:kern w:val="22"/>
          <w:lang w:val="fr-FR"/>
        </w:rPr>
        <w:t xml:space="preserve">Services d’évaluation et </w:t>
      </w:r>
      <w:r w:rsidR="00DF2039">
        <w:rPr>
          <w:iCs/>
          <w:kern w:val="22"/>
          <w:lang w:val="fr-FR"/>
        </w:rPr>
        <w:lastRenderedPageBreak/>
        <w:t>d’audit</w:t>
      </w:r>
      <w:r w:rsidR="005B4EF3" w:rsidRPr="005B4EF3">
        <w:rPr>
          <w:iCs/>
          <w:kern w:val="22"/>
          <w:lang w:val="fr-FR"/>
        </w:rPr>
        <w:t xml:space="preserve"> et conformément au paragraphe 4 de la décision 14/37 de la Conférence des Parties. L'objectif de la réserve de </w:t>
      </w:r>
      <w:r w:rsidR="00661C5B">
        <w:rPr>
          <w:iCs/>
          <w:kern w:val="22"/>
          <w:lang w:val="fr-FR"/>
        </w:rPr>
        <w:t xml:space="preserve">trésorerie </w:t>
      </w:r>
      <w:r w:rsidR="005B4EF3" w:rsidRPr="005B4EF3">
        <w:rPr>
          <w:iCs/>
          <w:kern w:val="22"/>
          <w:lang w:val="fr-FR"/>
        </w:rPr>
        <w:t xml:space="preserve">est d'assurer la continuité des opérations du Secrétariat de la Convention en cas de manque temporaire de liquidités. Les prélèvements sur la réserve de </w:t>
      </w:r>
      <w:r w:rsidR="00661C5B">
        <w:rPr>
          <w:iCs/>
          <w:kern w:val="22"/>
          <w:lang w:val="fr-FR"/>
        </w:rPr>
        <w:t xml:space="preserve">trésorerie </w:t>
      </w:r>
      <w:r w:rsidR="005B4EF3" w:rsidRPr="005B4EF3">
        <w:rPr>
          <w:iCs/>
          <w:kern w:val="22"/>
          <w:lang w:val="fr-FR"/>
        </w:rPr>
        <w:t>sont rétablis à partir des contributions dès que possible.</w:t>
      </w:r>
    </w:p>
    <w:p w14:paraId="3CA11324" w14:textId="77777777" w:rsidR="00BB0E05" w:rsidRDefault="00BB0E05" w:rsidP="00382991">
      <w:pPr>
        <w:spacing w:before="120" w:after="120"/>
        <w:rPr>
          <w:b/>
          <w:iCs/>
          <w:snapToGrid w:val="0"/>
          <w:kern w:val="22"/>
          <w:szCs w:val="22"/>
          <w:lang w:val="fr-FR"/>
        </w:rPr>
      </w:pPr>
    </w:p>
    <w:p w14:paraId="2077002B" w14:textId="144384A9" w:rsidR="00DF2039" w:rsidRDefault="004D0BE0" w:rsidP="00382991">
      <w:pPr>
        <w:spacing w:before="120" w:after="120"/>
        <w:rPr>
          <w:b/>
          <w:iCs/>
          <w:snapToGrid w:val="0"/>
          <w:kern w:val="22"/>
          <w:szCs w:val="22"/>
          <w:lang w:val="fr-FR"/>
        </w:rPr>
      </w:pPr>
      <w:r w:rsidRPr="007B1AB7">
        <w:rPr>
          <w:b/>
          <w:iCs/>
          <w:snapToGrid w:val="0"/>
          <w:kern w:val="22"/>
          <w:szCs w:val="22"/>
          <w:lang w:val="fr-FR"/>
        </w:rPr>
        <w:t>Table</w:t>
      </w:r>
      <w:r w:rsidR="007B1AB7" w:rsidRPr="007B1AB7">
        <w:rPr>
          <w:b/>
          <w:iCs/>
          <w:snapToGrid w:val="0"/>
          <w:kern w:val="22"/>
          <w:szCs w:val="22"/>
          <w:lang w:val="fr-FR"/>
        </w:rPr>
        <w:t>au</w:t>
      </w:r>
      <w:r w:rsidRPr="007B1AB7">
        <w:rPr>
          <w:b/>
          <w:iCs/>
          <w:snapToGrid w:val="0"/>
          <w:kern w:val="22"/>
          <w:szCs w:val="22"/>
          <w:lang w:val="fr-FR"/>
        </w:rPr>
        <w:t xml:space="preserve"> </w:t>
      </w:r>
      <w:r w:rsidR="00655E4E" w:rsidRPr="007B1AB7">
        <w:rPr>
          <w:b/>
          <w:iCs/>
          <w:snapToGrid w:val="0"/>
          <w:kern w:val="22"/>
          <w:szCs w:val="22"/>
          <w:lang w:val="fr-FR"/>
        </w:rPr>
        <w:t>3</w:t>
      </w:r>
    </w:p>
    <w:p w14:paraId="3A372D1C" w14:textId="68CEAB56" w:rsidR="007763A4" w:rsidRPr="007B1AB7" w:rsidRDefault="007B1AB7" w:rsidP="00382991">
      <w:pPr>
        <w:spacing w:before="120" w:after="120"/>
        <w:rPr>
          <w:b/>
          <w:iCs/>
          <w:snapToGrid w:val="0"/>
          <w:kern w:val="22"/>
          <w:szCs w:val="22"/>
          <w:lang w:val="fr-FR"/>
        </w:rPr>
      </w:pPr>
      <w:r w:rsidRPr="007B1AB7">
        <w:rPr>
          <w:b/>
          <w:iCs/>
          <w:snapToGrid w:val="0"/>
          <w:kern w:val="22"/>
          <w:szCs w:val="22"/>
          <w:lang w:val="fr-FR"/>
        </w:rPr>
        <w:t>Réserv</w:t>
      </w:r>
      <w:r w:rsidR="00DF2039">
        <w:rPr>
          <w:b/>
          <w:iCs/>
          <w:snapToGrid w:val="0"/>
          <w:kern w:val="22"/>
          <w:szCs w:val="22"/>
          <w:lang w:val="fr-FR"/>
        </w:rPr>
        <w:t>e</w:t>
      </w:r>
      <w:r w:rsidRPr="007B1AB7">
        <w:rPr>
          <w:b/>
          <w:iCs/>
          <w:snapToGrid w:val="0"/>
          <w:kern w:val="22"/>
          <w:szCs w:val="22"/>
          <w:lang w:val="fr-FR"/>
        </w:rPr>
        <w:t>s de trésorerie au 31 décembre 2020</w:t>
      </w:r>
    </w:p>
    <w:p w14:paraId="7C1EFAEE" w14:textId="7F33B8D1" w:rsidR="007763A4" w:rsidRPr="006E23F0" w:rsidRDefault="00DF2039" w:rsidP="00382991">
      <w:pPr>
        <w:spacing w:before="120" w:after="120"/>
        <w:rPr>
          <w:kern w:val="22"/>
          <w:lang w:val="fr-CA"/>
        </w:rPr>
      </w:pPr>
      <w:r w:rsidRPr="006E23F0">
        <w:rPr>
          <w:kern w:val="22"/>
          <w:lang w:val="fr-CA"/>
        </w:rPr>
        <w:t>(</w:t>
      </w:r>
      <w:r w:rsidRPr="00412FA4">
        <w:rPr>
          <w:i/>
          <w:iCs/>
          <w:kern w:val="22"/>
          <w:lang w:val="fr-FR"/>
        </w:rPr>
        <w:t>En milliers de dollars américa</w:t>
      </w:r>
      <w:r w:rsidR="00BB0E05">
        <w:rPr>
          <w:i/>
          <w:iCs/>
          <w:kern w:val="22"/>
          <w:lang w:val="fr-FR"/>
        </w:rPr>
        <w:t>ins)</w:t>
      </w:r>
    </w:p>
    <w:tbl>
      <w:tblPr>
        <w:tblW w:w="9350" w:type="dxa"/>
        <w:tblLook w:val="04A0" w:firstRow="1" w:lastRow="0" w:firstColumn="1" w:lastColumn="0" w:noHBand="0" w:noVBand="1"/>
      </w:tblPr>
      <w:tblGrid>
        <w:gridCol w:w="3924"/>
        <w:gridCol w:w="1227"/>
        <w:gridCol w:w="1054"/>
        <w:gridCol w:w="1080"/>
        <w:gridCol w:w="1080"/>
        <w:gridCol w:w="985"/>
      </w:tblGrid>
      <w:tr w:rsidR="002B3874" w:rsidRPr="006E23F0" w14:paraId="57345646" w14:textId="77777777" w:rsidTr="00487B30">
        <w:trPr>
          <w:trHeight w:val="458"/>
        </w:trPr>
        <w:tc>
          <w:tcPr>
            <w:tcW w:w="392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8EFDBF" w14:textId="3935DAB3" w:rsidR="002B3874" w:rsidRPr="006E23F0" w:rsidRDefault="00DF2039" w:rsidP="002B3874">
            <w:pPr>
              <w:jc w:val="center"/>
              <w:rPr>
                <w:b/>
                <w:bCs/>
                <w:color w:val="000000"/>
                <w:kern w:val="22"/>
                <w:szCs w:val="22"/>
                <w:lang w:val="fr-FR" w:eastAsia="en-CA"/>
              </w:rPr>
            </w:pPr>
            <w:r w:rsidRPr="006E23F0">
              <w:rPr>
                <w:b/>
                <w:bCs/>
                <w:color w:val="000000"/>
                <w:kern w:val="22"/>
                <w:szCs w:val="22"/>
                <w:lang w:val="fr-FR" w:eastAsia="en-CA"/>
              </w:rPr>
              <w:t>Fonds d’affectation spéciale</w:t>
            </w:r>
          </w:p>
        </w:tc>
        <w:tc>
          <w:tcPr>
            <w:tcW w:w="12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A97363" w14:textId="77777777" w:rsidR="002B3874" w:rsidRPr="006E23F0" w:rsidRDefault="002B3874" w:rsidP="002B3874">
            <w:pPr>
              <w:jc w:val="center"/>
              <w:rPr>
                <w:b/>
                <w:bCs/>
                <w:i/>
                <w:iCs/>
                <w:color w:val="000000"/>
                <w:kern w:val="22"/>
                <w:szCs w:val="22"/>
                <w:lang w:eastAsia="en-CA"/>
              </w:rPr>
            </w:pPr>
            <w:r w:rsidRPr="006E23F0">
              <w:rPr>
                <w:b/>
                <w:bCs/>
                <w:i/>
                <w:iCs/>
                <w:color w:val="000000"/>
                <w:kern w:val="22"/>
                <w:szCs w:val="22"/>
                <w:lang w:eastAsia="en-CA"/>
              </w:rPr>
              <w:t>2003-14</w:t>
            </w:r>
          </w:p>
        </w:tc>
        <w:tc>
          <w:tcPr>
            <w:tcW w:w="10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BC5F21" w14:textId="77777777" w:rsidR="002B3874" w:rsidRPr="006E23F0" w:rsidRDefault="002B3874" w:rsidP="002B3874">
            <w:pPr>
              <w:jc w:val="center"/>
              <w:rPr>
                <w:b/>
                <w:bCs/>
                <w:i/>
                <w:iCs/>
                <w:color w:val="000000"/>
                <w:kern w:val="22"/>
                <w:szCs w:val="22"/>
                <w:lang w:eastAsia="en-CA"/>
              </w:rPr>
            </w:pPr>
            <w:r w:rsidRPr="006E23F0">
              <w:rPr>
                <w:b/>
                <w:bCs/>
                <w:i/>
                <w:iCs/>
                <w:color w:val="000000"/>
                <w:kern w:val="22"/>
                <w:szCs w:val="22"/>
                <w:lang w:eastAsia="en-CA"/>
              </w:rPr>
              <w:t>2015-16</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9A3760" w14:textId="77777777" w:rsidR="002B3874" w:rsidRPr="006E23F0" w:rsidRDefault="002B3874" w:rsidP="002B3874">
            <w:pPr>
              <w:jc w:val="center"/>
              <w:rPr>
                <w:b/>
                <w:bCs/>
                <w:i/>
                <w:iCs/>
                <w:color w:val="000000"/>
                <w:kern w:val="22"/>
                <w:szCs w:val="22"/>
                <w:lang w:eastAsia="en-CA"/>
              </w:rPr>
            </w:pPr>
            <w:r w:rsidRPr="006E23F0">
              <w:rPr>
                <w:b/>
                <w:bCs/>
                <w:i/>
                <w:iCs/>
                <w:color w:val="000000"/>
                <w:kern w:val="22"/>
                <w:szCs w:val="22"/>
                <w:lang w:eastAsia="en-CA"/>
              </w:rPr>
              <w:t>2017-18</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4B352B" w14:textId="77777777" w:rsidR="002B3874" w:rsidRPr="006E23F0" w:rsidRDefault="002B3874" w:rsidP="002B3874">
            <w:pPr>
              <w:jc w:val="center"/>
              <w:rPr>
                <w:b/>
                <w:bCs/>
                <w:i/>
                <w:iCs/>
                <w:color w:val="000000"/>
                <w:kern w:val="22"/>
                <w:szCs w:val="22"/>
                <w:lang w:eastAsia="en-CA"/>
              </w:rPr>
            </w:pPr>
            <w:r w:rsidRPr="006E23F0">
              <w:rPr>
                <w:b/>
                <w:bCs/>
                <w:i/>
                <w:iCs/>
                <w:color w:val="000000"/>
                <w:kern w:val="22"/>
                <w:szCs w:val="22"/>
                <w:lang w:eastAsia="en-CA"/>
              </w:rPr>
              <w:t>2019-20</w:t>
            </w:r>
          </w:p>
        </w:tc>
        <w:tc>
          <w:tcPr>
            <w:tcW w:w="985" w:type="dxa"/>
            <w:vMerge w:val="restart"/>
            <w:tcBorders>
              <w:top w:val="single" w:sz="4" w:space="0" w:color="auto"/>
              <w:left w:val="single" w:sz="4" w:space="0" w:color="auto"/>
            </w:tcBorders>
            <w:shd w:val="clear" w:color="auto" w:fill="auto"/>
            <w:noWrap/>
            <w:vAlign w:val="center"/>
            <w:hideMark/>
          </w:tcPr>
          <w:p w14:paraId="2B437D8D" w14:textId="77777777" w:rsidR="002B3874" w:rsidRPr="006E23F0" w:rsidRDefault="002B3874" w:rsidP="002B3874">
            <w:pPr>
              <w:jc w:val="center"/>
              <w:rPr>
                <w:b/>
                <w:bCs/>
                <w:i/>
                <w:iCs/>
                <w:color w:val="000000"/>
                <w:kern w:val="22"/>
                <w:szCs w:val="22"/>
                <w:lang w:eastAsia="en-CA"/>
              </w:rPr>
            </w:pPr>
            <w:r w:rsidRPr="006E23F0">
              <w:rPr>
                <w:b/>
                <w:bCs/>
                <w:i/>
                <w:iCs/>
                <w:color w:val="000000"/>
                <w:kern w:val="22"/>
                <w:szCs w:val="22"/>
                <w:lang w:eastAsia="en-CA"/>
              </w:rPr>
              <w:t>Total</w:t>
            </w:r>
          </w:p>
        </w:tc>
      </w:tr>
      <w:tr w:rsidR="002B3874" w:rsidRPr="006E23F0" w14:paraId="50D908DE" w14:textId="77777777" w:rsidTr="00487B30">
        <w:trPr>
          <w:trHeight w:val="458"/>
        </w:trPr>
        <w:tc>
          <w:tcPr>
            <w:tcW w:w="3924" w:type="dxa"/>
            <w:vMerge/>
            <w:tcBorders>
              <w:top w:val="single" w:sz="4" w:space="0" w:color="auto"/>
              <w:left w:val="single" w:sz="4" w:space="0" w:color="auto"/>
              <w:bottom w:val="single" w:sz="4" w:space="0" w:color="auto"/>
              <w:right w:val="single" w:sz="4" w:space="0" w:color="auto"/>
            </w:tcBorders>
            <w:vAlign w:val="center"/>
            <w:hideMark/>
          </w:tcPr>
          <w:p w14:paraId="0DDEA349" w14:textId="77777777" w:rsidR="002B3874" w:rsidRPr="006E23F0" w:rsidRDefault="002B3874" w:rsidP="002B3874">
            <w:pPr>
              <w:rPr>
                <w:b/>
                <w:bCs/>
                <w:i/>
                <w:iCs/>
                <w:color w:val="000000"/>
                <w:kern w:val="22"/>
                <w:szCs w:val="22"/>
                <w:lang w:eastAsia="en-CA"/>
              </w:rPr>
            </w:pPr>
          </w:p>
        </w:tc>
        <w:tc>
          <w:tcPr>
            <w:tcW w:w="1227" w:type="dxa"/>
            <w:vMerge/>
            <w:tcBorders>
              <w:top w:val="single" w:sz="4" w:space="0" w:color="auto"/>
              <w:left w:val="single" w:sz="4" w:space="0" w:color="auto"/>
              <w:bottom w:val="single" w:sz="4" w:space="0" w:color="auto"/>
              <w:right w:val="single" w:sz="4" w:space="0" w:color="auto"/>
            </w:tcBorders>
            <w:vAlign w:val="center"/>
            <w:hideMark/>
          </w:tcPr>
          <w:p w14:paraId="312AD18E" w14:textId="77777777" w:rsidR="002B3874" w:rsidRPr="006E23F0" w:rsidRDefault="002B3874" w:rsidP="002B3874">
            <w:pPr>
              <w:rPr>
                <w:i/>
                <w:iCs/>
                <w:color w:val="000000"/>
                <w:kern w:val="22"/>
                <w:szCs w:val="22"/>
                <w:lang w:eastAsia="en-CA"/>
              </w:rPr>
            </w:pPr>
          </w:p>
        </w:tc>
        <w:tc>
          <w:tcPr>
            <w:tcW w:w="1054" w:type="dxa"/>
            <w:vMerge/>
            <w:tcBorders>
              <w:top w:val="single" w:sz="4" w:space="0" w:color="auto"/>
              <w:left w:val="single" w:sz="4" w:space="0" w:color="auto"/>
              <w:bottom w:val="single" w:sz="4" w:space="0" w:color="auto"/>
              <w:right w:val="single" w:sz="4" w:space="0" w:color="auto"/>
            </w:tcBorders>
            <w:vAlign w:val="center"/>
            <w:hideMark/>
          </w:tcPr>
          <w:p w14:paraId="52B60A9A" w14:textId="77777777" w:rsidR="002B3874" w:rsidRPr="006E23F0" w:rsidRDefault="002B3874" w:rsidP="002B3874">
            <w:pPr>
              <w:rPr>
                <w:i/>
                <w:iCs/>
                <w:color w:val="000000"/>
                <w:kern w:val="22"/>
                <w:szCs w:val="22"/>
                <w:lang w:eastAsia="en-CA"/>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2CC1A3DE" w14:textId="77777777" w:rsidR="002B3874" w:rsidRPr="006E23F0" w:rsidRDefault="002B3874" w:rsidP="002B3874">
            <w:pPr>
              <w:rPr>
                <w:i/>
                <w:iCs/>
                <w:color w:val="000000"/>
                <w:kern w:val="22"/>
                <w:szCs w:val="22"/>
                <w:lang w:eastAsia="en-CA"/>
              </w:rPr>
            </w:pPr>
          </w:p>
        </w:tc>
        <w:tc>
          <w:tcPr>
            <w:tcW w:w="1080" w:type="dxa"/>
            <w:vMerge/>
            <w:tcBorders>
              <w:top w:val="single" w:sz="4" w:space="0" w:color="000000"/>
              <w:left w:val="single" w:sz="4" w:space="0" w:color="auto"/>
              <w:bottom w:val="single" w:sz="4" w:space="0" w:color="auto"/>
              <w:right w:val="single" w:sz="4" w:space="0" w:color="auto"/>
            </w:tcBorders>
            <w:vAlign w:val="center"/>
            <w:hideMark/>
          </w:tcPr>
          <w:p w14:paraId="1BB84109" w14:textId="77777777" w:rsidR="002B3874" w:rsidRPr="006E23F0" w:rsidRDefault="002B3874" w:rsidP="002B3874">
            <w:pPr>
              <w:rPr>
                <w:i/>
                <w:iCs/>
                <w:color w:val="000000"/>
                <w:kern w:val="22"/>
                <w:szCs w:val="22"/>
                <w:lang w:eastAsia="en-CA"/>
              </w:rPr>
            </w:pPr>
          </w:p>
        </w:tc>
        <w:tc>
          <w:tcPr>
            <w:tcW w:w="985" w:type="dxa"/>
            <w:vMerge/>
            <w:tcBorders>
              <w:left w:val="single" w:sz="4" w:space="0" w:color="auto"/>
            </w:tcBorders>
            <w:vAlign w:val="center"/>
            <w:hideMark/>
          </w:tcPr>
          <w:p w14:paraId="06A3B164" w14:textId="77777777" w:rsidR="002B3874" w:rsidRPr="006E23F0" w:rsidRDefault="002B3874" w:rsidP="002B3874">
            <w:pPr>
              <w:rPr>
                <w:i/>
                <w:iCs/>
                <w:color w:val="000000"/>
                <w:kern w:val="22"/>
                <w:szCs w:val="22"/>
                <w:lang w:eastAsia="en-CA"/>
              </w:rPr>
            </w:pPr>
          </w:p>
        </w:tc>
      </w:tr>
      <w:tr w:rsidR="002B3874" w:rsidRPr="006E23F0" w14:paraId="2AD90AF3" w14:textId="77777777" w:rsidTr="00487B30">
        <w:trPr>
          <w:trHeight w:val="458"/>
        </w:trPr>
        <w:tc>
          <w:tcPr>
            <w:tcW w:w="392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13607B0" w14:textId="78AD0367" w:rsidR="002B3874" w:rsidRPr="006E23F0" w:rsidRDefault="007B1AB7" w:rsidP="00BB0E05">
            <w:pPr>
              <w:jc w:val="left"/>
              <w:rPr>
                <w:color w:val="000000"/>
                <w:kern w:val="22"/>
                <w:szCs w:val="22"/>
                <w:lang w:val="fr-FR" w:eastAsia="en-CA"/>
              </w:rPr>
            </w:pPr>
            <w:r w:rsidRPr="006E23F0">
              <w:rPr>
                <w:color w:val="000000"/>
                <w:kern w:val="22"/>
                <w:szCs w:val="22"/>
                <w:lang w:val="fr-FR" w:eastAsia="en-CA"/>
              </w:rPr>
              <w:t>Fonds d’affectation spéciale</w:t>
            </w:r>
            <w:r w:rsidR="00A47877" w:rsidRPr="006E23F0">
              <w:rPr>
                <w:color w:val="000000"/>
                <w:kern w:val="22"/>
                <w:szCs w:val="22"/>
                <w:lang w:val="fr-FR" w:eastAsia="en-CA"/>
              </w:rPr>
              <w:t xml:space="preserve"> </w:t>
            </w:r>
            <w:r w:rsidR="00D63CF8" w:rsidRPr="006E23F0">
              <w:rPr>
                <w:color w:val="000000"/>
                <w:kern w:val="22"/>
                <w:szCs w:val="22"/>
                <w:lang w:val="fr-FR" w:eastAsia="en-CA"/>
              </w:rPr>
              <w:t>BY</w:t>
            </w:r>
          </w:p>
        </w:tc>
        <w:tc>
          <w:tcPr>
            <w:tcW w:w="122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0D1B904" w14:textId="77777777" w:rsidR="002B3874" w:rsidRPr="006E23F0" w:rsidRDefault="002B3874" w:rsidP="002B3874">
            <w:pPr>
              <w:jc w:val="center"/>
              <w:rPr>
                <w:color w:val="000000"/>
                <w:kern w:val="22"/>
                <w:szCs w:val="22"/>
                <w:lang w:eastAsia="en-CA"/>
              </w:rPr>
            </w:pPr>
            <w:r w:rsidRPr="006E23F0">
              <w:rPr>
                <w:color w:val="000000"/>
                <w:kern w:val="22"/>
                <w:szCs w:val="22"/>
                <w:lang w:eastAsia="en-CA"/>
              </w:rPr>
              <w:t>1,324.4</w:t>
            </w:r>
          </w:p>
        </w:tc>
        <w:tc>
          <w:tcPr>
            <w:tcW w:w="10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8B38C46" w14:textId="77777777" w:rsidR="002B3874" w:rsidRPr="006E23F0" w:rsidRDefault="002B3874" w:rsidP="002B3874">
            <w:pPr>
              <w:jc w:val="center"/>
              <w:rPr>
                <w:color w:val="000000"/>
                <w:kern w:val="22"/>
                <w:szCs w:val="22"/>
                <w:lang w:eastAsia="en-CA"/>
              </w:rPr>
            </w:pPr>
            <w:r w:rsidRPr="006E23F0">
              <w:rPr>
                <w:color w:val="000000"/>
                <w:kern w:val="22"/>
                <w:szCs w:val="22"/>
                <w:lang w:eastAsia="en-CA"/>
              </w:rPr>
              <w:t>765.1</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B190749" w14:textId="77777777" w:rsidR="002B3874" w:rsidRPr="006E23F0" w:rsidRDefault="002B3874" w:rsidP="002B3874">
            <w:pPr>
              <w:jc w:val="center"/>
              <w:rPr>
                <w:color w:val="000000"/>
                <w:kern w:val="22"/>
                <w:szCs w:val="22"/>
                <w:lang w:eastAsia="en-CA"/>
              </w:rPr>
            </w:pPr>
            <w:r w:rsidRPr="006E23F0">
              <w:rPr>
                <w:color w:val="000000"/>
                <w:kern w:val="22"/>
                <w:szCs w:val="22"/>
                <w:lang w:eastAsia="en-CA"/>
              </w:rPr>
              <w:t>93.3</w:t>
            </w:r>
          </w:p>
        </w:tc>
        <w:tc>
          <w:tcPr>
            <w:tcW w:w="1080" w:type="dxa"/>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14:paraId="3A396728" w14:textId="77777777" w:rsidR="002B3874" w:rsidRPr="006E23F0" w:rsidRDefault="002B3874" w:rsidP="002B3874">
            <w:pPr>
              <w:jc w:val="center"/>
              <w:rPr>
                <w:color w:val="000000"/>
                <w:kern w:val="22"/>
                <w:szCs w:val="22"/>
                <w:lang w:eastAsia="en-CA"/>
              </w:rPr>
            </w:pPr>
            <w:r w:rsidRPr="006E23F0">
              <w:rPr>
                <w:color w:val="000000"/>
                <w:kern w:val="22"/>
                <w:szCs w:val="22"/>
                <w:lang w:eastAsia="en-CA"/>
              </w:rPr>
              <w:t>138.6</w:t>
            </w:r>
          </w:p>
        </w:tc>
        <w:tc>
          <w:tcPr>
            <w:tcW w:w="985" w:type="dxa"/>
            <w:vMerge w:val="restart"/>
            <w:tcBorders>
              <w:top w:val="nil"/>
              <w:left w:val="single" w:sz="4" w:space="0" w:color="auto"/>
            </w:tcBorders>
            <w:shd w:val="clear" w:color="auto" w:fill="auto"/>
            <w:noWrap/>
            <w:vAlign w:val="center"/>
            <w:hideMark/>
          </w:tcPr>
          <w:p w14:paraId="47372D7E" w14:textId="77777777" w:rsidR="002B3874" w:rsidRPr="006E23F0" w:rsidRDefault="002B3874" w:rsidP="002B3874">
            <w:pPr>
              <w:jc w:val="center"/>
              <w:rPr>
                <w:b/>
                <w:bCs/>
                <w:color w:val="000000"/>
                <w:kern w:val="22"/>
                <w:szCs w:val="22"/>
                <w:lang w:eastAsia="en-CA"/>
              </w:rPr>
            </w:pPr>
            <w:r w:rsidRPr="006E23F0">
              <w:rPr>
                <w:b/>
                <w:bCs/>
                <w:color w:val="000000"/>
                <w:kern w:val="22"/>
                <w:szCs w:val="22"/>
                <w:lang w:eastAsia="en-CA"/>
              </w:rPr>
              <w:t>2,321.4</w:t>
            </w:r>
          </w:p>
        </w:tc>
      </w:tr>
      <w:tr w:rsidR="002B3874" w:rsidRPr="006E23F0" w14:paraId="584201FC" w14:textId="77777777" w:rsidTr="00487B30">
        <w:trPr>
          <w:trHeight w:val="458"/>
        </w:trPr>
        <w:tc>
          <w:tcPr>
            <w:tcW w:w="3924" w:type="dxa"/>
            <w:vMerge/>
            <w:tcBorders>
              <w:top w:val="nil"/>
              <w:left w:val="single" w:sz="4" w:space="0" w:color="auto"/>
              <w:bottom w:val="single" w:sz="4" w:space="0" w:color="auto"/>
              <w:right w:val="single" w:sz="4" w:space="0" w:color="auto"/>
            </w:tcBorders>
            <w:vAlign w:val="center"/>
            <w:hideMark/>
          </w:tcPr>
          <w:p w14:paraId="6385CD63" w14:textId="77777777" w:rsidR="002B3874" w:rsidRPr="006E23F0" w:rsidRDefault="002B3874" w:rsidP="00BB0E05">
            <w:pPr>
              <w:jc w:val="left"/>
              <w:rPr>
                <w:color w:val="000000"/>
                <w:kern w:val="22"/>
                <w:szCs w:val="22"/>
                <w:lang w:eastAsia="en-CA"/>
              </w:rPr>
            </w:pPr>
          </w:p>
        </w:tc>
        <w:tc>
          <w:tcPr>
            <w:tcW w:w="1227" w:type="dxa"/>
            <w:vMerge/>
            <w:tcBorders>
              <w:top w:val="nil"/>
              <w:left w:val="single" w:sz="4" w:space="0" w:color="auto"/>
              <w:bottom w:val="single" w:sz="4" w:space="0" w:color="auto"/>
              <w:right w:val="single" w:sz="4" w:space="0" w:color="auto"/>
            </w:tcBorders>
            <w:vAlign w:val="center"/>
            <w:hideMark/>
          </w:tcPr>
          <w:p w14:paraId="1F254940" w14:textId="77777777" w:rsidR="002B3874" w:rsidRPr="006E23F0" w:rsidRDefault="002B3874" w:rsidP="002B3874">
            <w:pPr>
              <w:rPr>
                <w:color w:val="000000"/>
                <w:kern w:val="22"/>
                <w:szCs w:val="22"/>
                <w:lang w:eastAsia="en-CA"/>
              </w:rPr>
            </w:pPr>
          </w:p>
        </w:tc>
        <w:tc>
          <w:tcPr>
            <w:tcW w:w="1054" w:type="dxa"/>
            <w:vMerge/>
            <w:tcBorders>
              <w:top w:val="nil"/>
              <w:left w:val="single" w:sz="4" w:space="0" w:color="auto"/>
              <w:bottom w:val="single" w:sz="4" w:space="0" w:color="auto"/>
              <w:right w:val="single" w:sz="4" w:space="0" w:color="auto"/>
            </w:tcBorders>
            <w:vAlign w:val="center"/>
            <w:hideMark/>
          </w:tcPr>
          <w:p w14:paraId="7477E082" w14:textId="77777777" w:rsidR="002B3874" w:rsidRPr="006E23F0" w:rsidRDefault="002B3874" w:rsidP="002B3874">
            <w:pPr>
              <w:rPr>
                <w:color w:val="000000"/>
                <w:kern w:val="22"/>
                <w:szCs w:val="22"/>
                <w:lang w:eastAsia="en-CA"/>
              </w:rPr>
            </w:pPr>
          </w:p>
        </w:tc>
        <w:tc>
          <w:tcPr>
            <w:tcW w:w="1080" w:type="dxa"/>
            <w:vMerge/>
            <w:tcBorders>
              <w:top w:val="nil"/>
              <w:left w:val="single" w:sz="4" w:space="0" w:color="auto"/>
              <w:bottom w:val="single" w:sz="4" w:space="0" w:color="auto"/>
              <w:right w:val="single" w:sz="4" w:space="0" w:color="auto"/>
            </w:tcBorders>
            <w:vAlign w:val="center"/>
            <w:hideMark/>
          </w:tcPr>
          <w:p w14:paraId="35ECC746" w14:textId="77777777" w:rsidR="002B3874" w:rsidRPr="006E23F0" w:rsidRDefault="002B3874" w:rsidP="002B3874">
            <w:pPr>
              <w:rPr>
                <w:color w:val="000000"/>
                <w:kern w:val="22"/>
                <w:szCs w:val="22"/>
                <w:lang w:eastAsia="en-CA"/>
              </w:rPr>
            </w:pPr>
          </w:p>
        </w:tc>
        <w:tc>
          <w:tcPr>
            <w:tcW w:w="1080" w:type="dxa"/>
            <w:vMerge/>
            <w:tcBorders>
              <w:top w:val="single" w:sz="4" w:space="0" w:color="000000"/>
              <w:left w:val="single" w:sz="4" w:space="0" w:color="auto"/>
              <w:bottom w:val="single" w:sz="4" w:space="0" w:color="auto"/>
              <w:right w:val="single" w:sz="4" w:space="0" w:color="auto"/>
            </w:tcBorders>
            <w:vAlign w:val="center"/>
            <w:hideMark/>
          </w:tcPr>
          <w:p w14:paraId="57A59F92" w14:textId="77777777" w:rsidR="002B3874" w:rsidRPr="006E23F0" w:rsidRDefault="002B3874" w:rsidP="002B3874">
            <w:pPr>
              <w:rPr>
                <w:color w:val="000000"/>
                <w:kern w:val="22"/>
                <w:szCs w:val="22"/>
                <w:lang w:eastAsia="en-CA"/>
              </w:rPr>
            </w:pPr>
          </w:p>
        </w:tc>
        <w:tc>
          <w:tcPr>
            <w:tcW w:w="985" w:type="dxa"/>
            <w:vMerge/>
            <w:tcBorders>
              <w:top w:val="nil"/>
              <w:left w:val="single" w:sz="4" w:space="0" w:color="auto"/>
            </w:tcBorders>
            <w:vAlign w:val="center"/>
            <w:hideMark/>
          </w:tcPr>
          <w:p w14:paraId="07E78766" w14:textId="77777777" w:rsidR="002B3874" w:rsidRPr="006E23F0" w:rsidRDefault="002B3874" w:rsidP="002B3874">
            <w:pPr>
              <w:rPr>
                <w:b/>
                <w:bCs/>
                <w:color w:val="000000"/>
                <w:kern w:val="22"/>
                <w:szCs w:val="22"/>
                <w:lang w:eastAsia="en-CA"/>
              </w:rPr>
            </w:pPr>
          </w:p>
        </w:tc>
      </w:tr>
      <w:tr w:rsidR="002B3874" w:rsidRPr="006E23F0" w14:paraId="57C69E9F" w14:textId="77777777" w:rsidTr="00487B30">
        <w:trPr>
          <w:trHeight w:val="458"/>
        </w:trPr>
        <w:tc>
          <w:tcPr>
            <w:tcW w:w="392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75307A5" w14:textId="293C975D" w:rsidR="002B3874" w:rsidRPr="006E23F0" w:rsidRDefault="007B1AB7" w:rsidP="00BB0E05">
            <w:pPr>
              <w:jc w:val="left"/>
              <w:rPr>
                <w:color w:val="000000"/>
                <w:kern w:val="22"/>
                <w:szCs w:val="22"/>
                <w:lang w:val="fr-FR" w:eastAsia="en-CA"/>
              </w:rPr>
            </w:pPr>
            <w:r w:rsidRPr="006E23F0">
              <w:rPr>
                <w:color w:val="000000"/>
                <w:kern w:val="22"/>
                <w:szCs w:val="22"/>
                <w:lang w:val="fr-FR" w:eastAsia="en-CA"/>
              </w:rPr>
              <w:t xml:space="preserve">Fonds d’affectation spéciale général </w:t>
            </w:r>
            <w:r w:rsidR="00D63CF8" w:rsidRPr="006E23F0">
              <w:rPr>
                <w:color w:val="000000"/>
                <w:kern w:val="22"/>
                <w:szCs w:val="22"/>
                <w:lang w:val="fr-FR" w:eastAsia="en-CA"/>
              </w:rPr>
              <w:t>BG</w:t>
            </w:r>
          </w:p>
        </w:tc>
        <w:tc>
          <w:tcPr>
            <w:tcW w:w="122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75942BF" w14:textId="77777777" w:rsidR="002B3874" w:rsidRPr="006E23F0" w:rsidRDefault="002B3874" w:rsidP="002B3874">
            <w:pPr>
              <w:jc w:val="center"/>
              <w:rPr>
                <w:color w:val="000000"/>
                <w:kern w:val="22"/>
                <w:szCs w:val="22"/>
                <w:lang w:eastAsia="en-CA"/>
              </w:rPr>
            </w:pPr>
            <w:r w:rsidRPr="006E23F0">
              <w:rPr>
                <w:color w:val="000000"/>
                <w:kern w:val="22"/>
                <w:szCs w:val="22"/>
                <w:lang w:eastAsia="en-CA"/>
              </w:rPr>
              <w:t>293.8</w:t>
            </w:r>
          </w:p>
        </w:tc>
        <w:tc>
          <w:tcPr>
            <w:tcW w:w="10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6627254" w14:textId="77777777" w:rsidR="002B3874" w:rsidRPr="006E23F0" w:rsidRDefault="002B3874" w:rsidP="002B3874">
            <w:pPr>
              <w:jc w:val="center"/>
              <w:rPr>
                <w:color w:val="000000"/>
                <w:kern w:val="22"/>
                <w:szCs w:val="22"/>
                <w:lang w:eastAsia="en-CA"/>
              </w:rPr>
            </w:pPr>
            <w:r w:rsidRPr="006E23F0">
              <w:rPr>
                <w:color w:val="000000"/>
                <w:kern w:val="22"/>
                <w:szCs w:val="22"/>
                <w:lang w:eastAsia="en-CA"/>
              </w:rPr>
              <w:t>175.5</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9C8CB4B" w14:textId="77777777" w:rsidR="002B3874" w:rsidRPr="006E23F0" w:rsidRDefault="002B3874" w:rsidP="002B3874">
            <w:pPr>
              <w:jc w:val="center"/>
              <w:rPr>
                <w:color w:val="000000"/>
                <w:kern w:val="22"/>
                <w:szCs w:val="22"/>
                <w:lang w:eastAsia="en-CA"/>
              </w:rPr>
            </w:pPr>
            <w:r w:rsidRPr="006E23F0">
              <w:rPr>
                <w:color w:val="000000"/>
                <w:kern w:val="22"/>
                <w:szCs w:val="22"/>
                <w:lang w:eastAsia="en-CA"/>
              </w:rPr>
              <w:t>19.7</w:t>
            </w:r>
          </w:p>
        </w:tc>
        <w:tc>
          <w:tcPr>
            <w:tcW w:w="1080" w:type="dxa"/>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14:paraId="372BE0BA" w14:textId="77777777" w:rsidR="002B3874" w:rsidRPr="006E23F0" w:rsidRDefault="002B3874" w:rsidP="002B3874">
            <w:pPr>
              <w:jc w:val="center"/>
              <w:rPr>
                <w:color w:val="000000"/>
                <w:kern w:val="22"/>
                <w:szCs w:val="22"/>
                <w:lang w:eastAsia="en-CA"/>
              </w:rPr>
            </w:pPr>
            <w:r w:rsidRPr="006E23F0">
              <w:rPr>
                <w:color w:val="000000"/>
                <w:kern w:val="22"/>
                <w:szCs w:val="22"/>
                <w:lang w:eastAsia="en-CA"/>
              </w:rPr>
              <w:t>28.1</w:t>
            </w:r>
          </w:p>
        </w:tc>
        <w:tc>
          <w:tcPr>
            <w:tcW w:w="985" w:type="dxa"/>
            <w:vMerge w:val="restart"/>
            <w:tcBorders>
              <w:top w:val="nil"/>
              <w:left w:val="single" w:sz="4" w:space="0" w:color="auto"/>
            </w:tcBorders>
            <w:shd w:val="clear" w:color="auto" w:fill="auto"/>
            <w:noWrap/>
            <w:vAlign w:val="center"/>
            <w:hideMark/>
          </w:tcPr>
          <w:p w14:paraId="2959094D" w14:textId="77777777" w:rsidR="002B3874" w:rsidRPr="006E23F0" w:rsidRDefault="002B3874" w:rsidP="002B3874">
            <w:pPr>
              <w:jc w:val="center"/>
              <w:rPr>
                <w:b/>
                <w:bCs/>
                <w:color w:val="000000"/>
                <w:kern w:val="22"/>
                <w:szCs w:val="22"/>
                <w:lang w:eastAsia="en-CA"/>
              </w:rPr>
            </w:pPr>
            <w:r w:rsidRPr="006E23F0">
              <w:rPr>
                <w:b/>
                <w:bCs/>
                <w:color w:val="000000"/>
                <w:kern w:val="22"/>
                <w:szCs w:val="22"/>
                <w:lang w:eastAsia="en-CA"/>
              </w:rPr>
              <w:t>517.1</w:t>
            </w:r>
          </w:p>
        </w:tc>
      </w:tr>
      <w:tr w:rsidR="002B3874" w:rsidRPr="006E23F0" w14:paraId="39A1304C" w14:textId="77777777" w:rsidTr="00487B30">
        <w:trPr>
          <w:trHeight w:val="458"/>
        </w:trPr>
        <w:tc>
          <w:tcPr>
            <w:tcW w:w="3924" w:type="dxa"/>
            <w:vMerge/>
            <w:tcBorders>
              <w:top w:val="nil"/>
              <w:left w:val="single" w:sz="4" w:space="0" w:color="auto"/>
              <w:bottom w:val="single" w:sz="4" w:space="0" w:color="auto"/>
              <w:right w:val="single" w:sz="4" w:space="0" w:color="auto"/>
            </w:tcBorders>
            <w:vAlign w:val="center"/>
            <w:hideMark/>
          </w:tcPr>
          <w:p w14:paraId="79C016D2" w14:textId="77777777" w:rsidR="002B3874" w:rsidRPr="006E23F0" w:rsidRDefault="002B3874" w:rsidP="00BB0E05">
            <w:pPr>
              <w:jc w:val="left"/>
              <w:rPr>
                <w:color w:val="000000"/>
                <w:kern w:val="22"/>
                <w:szCs w:val="22"/>
                <w:lang w:val="fr-FR" w:eastAsia="en-CA"/>
              </w:rPr>
            </w:pPr>
          </w:p>
        </w:tc>
        <w:tc>
          <w:tcPr>
            <w:tcW w:w="1227" w:type="dxa"/>
            <w:vMerge/>
            <w:tcBorders>
              <w:top w:val="nil"/>
              <w:left w:val="single" w:sz="4" w:space="0" w:color="auto"/>
              <w:bottom w:val="single" w:sz="4" w:space="0" w:color="auto"/>
              <w:right w:val="single" w:sz="4" w:space="0" w:color="auto"/>
            </w:tcBorders>
            <w:vAlign w:val="center"/>
            <w:hideMark/>
          </w:tcPr>
          <w:p w14:paraId="5938670E" w14:textId="77777777" w:rsidR="002B3874" w:rsidRPr="006E23F0" w:rsidRDefault="002B3874" w:rsidP="002B3874">
            <w:pPr>
              <w:rPr>
                <w:color w:val="000000"/>
                <w:kern w:val="22"/>
                <w:szCs w:val="22"/>
                <w:lang w:eastAsia="en-CA"/>
              </w:rPr>
            </w:pPr>
          </w:p>
        </w:tc>
        <w:tc>
          <w:tcPr>
            <w:tcW w:w="1054" w:type="dxa"/>
            <w:vMerge/>
            <w:tcBorders>
              <w:top w:val="nil"/>
              <w:left w:val="single" w:sz="4" w:space="0" w:color="auto"/>
              <w:bottom w:val="single" w:sz="4" w:space="0" w:color="auto"/>
              <w:right w:val="single" w:sz="4" w:space="0" w:color="auto"/>
            </w:tcBorders>
            <w:vAlign w:val="center"/>
            <w:hideMark/>
          </w:tcPr>
          <w:p w14:paraId="63D66C29" w14:textId="77777777" w:rsidR="002B3874" w:rsidRPr="006E23F0" w:rsidRDefault="002B3874" w:rsidP="002B3874">
            <w:pPr>
              <w:rPr>
                <w:color w:val="000000"/>
                <w:kern w:val="22"/>
                <w:szCs w:val="22"/>
                <w:lang w:eastAsia="en-CA"/>
              </w:rPr>
            </w:pPr>
          </w:p>
        </w:tc>
        <w:tc>
          <w:tcPr>
            <w:tcW w:w="1080" w:type="dxa"/>
            <w:vMerge/>
            <w:tcBorders>
              <w:top w:val="nil"/>
              <w:left w:val="single" w:sz="4" w:space="0" w:color="auto"/>
              <w:bottom w:val="single" w:sz="4" w:space="0" w:color="auto"/>
              <w:right w:val="single" w:sz="4" w:space="0" w:color="auto"/>
            </w:tcBorders>
            <w:vAlign w:val="center"/>
            <w:hideMark/>
          </w:tcPr>
          <w:p w14:paraId="34004633" w14:textId="77777777" w:rsidR="002B3874" w:rsidRPr="006E23F0" w:rsidRDefault="002B3874" w:rsidP="002B3874">
            <w:pPr>
              <w:rPr>
                <w:color w:val="000000"/>
                <w:kern w:val="22"/>
                <w:szCs w:val="22"/>
                <w:lang w:eastAsia="en-CA"/>
              </w:rPr>
            </w:pPr>
          </w:p>
        </w:tc>
        <w:tc>
          <w:tcPr>
            <w:tcW w:w="1080" w:type="dxa"/>
            <w:vMerge/>
            <w:tcBorders>
              <w:top w:val="single" w:sz="4" w:space="0" w:color="000000"/>
              <w:left w:val="single" w:sz="4" w:space="0" w:color="auto"/>
              <w:bottom w:val="single" w:sz="4" w:space="0" w:color="auto"/>
              <w:right w:val="single" w:sz="4" w:space="0" w:color="auto"/>
            </w:tcBorders>
            <w:vAlign w:val="center"/>
            <w:hideMark/>
          </w:tcPr>
          <w:p w14:paraId="0991DC2F" w14:textId="77777777" w:rsidR="002B3874" w:rsidRPr="006E23F0" w:rsidRDefault="002B3874" w:rsidP="002B3874">
            <w:pPr>
              <w:rPr>
                <w:color w:val="000000"/>
                <w:kern w:val="22"/>
                <w:szCs w:val="22"/>
                <w:lang w:eastAsia="en-CA"/>
              </w:rPr>
            </w:pPr>
          </w:p>
        </w:tc>
        <w:tc>
          <w:tcPr>
            <w:tcW w:w="985" w:type="dxa"/>
            <w:vMerge/>
            <w:tcBorders>
              <w:top w:val="nil"/>
              <w:left w:val="single" w:sz="4" w:space="0" w:color="auto"/>
            </w:tcBorders>
            <w:vAlign w:val="center"/>
            <w:hideMark/>
          </w:tcPr>
          <w:p w14:paraId="3BB8BFC1" w14:textId="77777777" w:rsidR="002B3874" w:rsidRPr="006E23F0" w:rsidRDefault="002B3874" w:rsidP="002B3874">
            <w:pPr>
              <w:rPr>
                <w:b/>
                <w:bCs/>
                <w:color w:val="000000"/>
                <w:kern w:val="22"/>
                <w:szCs w:val="22"/>
                <w:lang w:eastAsia="en-CA"/>
              </w:rPr>
            </w:pPr>
          </w:p>
        </w:tc>
      </w:tr>
      <w:tr w:rsidR="002B3874" w:rsidRPr="006E23F0" w14:paraId="206CDF42" w14:textId="77777777" w:rsidTr="00487B30">
        <w:trPr>
          <w:trHeight w:val="458"/>
        </w:trPr>
        <w:tc>
          <w:tcPr>
            <w:tcW w:w="392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7C69DA3" w14:textId="6E272E76" w:rsidR="002B3874" w:rsidRPr="006E23F0" w:rsidRDefault="00D63CF8" w:rsidP="00BB0E05">
            <w:pPr>
              <w:jc w:val="left"/>
              <w:rPr>
                <w:color w:val="000000"/>
                <w:kern w:val="22"/>
                <w:szCs w:val="22"/>
                <w:lang w:val="fr-FR" w:eastAsia="en-CA"/>
              </w:rPr>
            </w:pPr>
            <w:r w:rsidRPr="006E23F0">
              <w:rPr>
                <w:color w:val="000000"/>
                <w:kern w:val="22"/>
                <w:szCs w:val="22"/>
                <w:lang w:val="fr-FR" w:eastAsia="en-CA"/>
              </w:rPr>
              <w:t>Fonds d’affectation spéciale BB</w:t>
            </w:r>
          </w:p>
        </w:tc>
        <w:tc>
          <w:tcPr>
            <w:tcW w:w="1227"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99A61BD" w14:textId="77777777" w:rsidR="002B3874" w:rsidRPr="006E23F0" w:rsidRDefault="002B3874" w:rsidP="002B3874">
            <w:pPr>
              <w:rPr>
                <w:rFonts w:ascii="Calibri" w:hAnsi="Calibri" w:cs="Calibri"/>
                <w:color w:val="000000"/>
                <w:kern w:val="22"/>
                <w:szCs w:val="22"/>
                <w:lang w:eastAsia="en-CA"/>
              </w:rPr>
            </w:pPr>
            <w:r w:rsidRPr="006E23F0">
              <w:rPr>
                <w:rFonts w:ascii="Calibri" w:hAnsi="Calibri" w:cs="Calibri"/>
                <w:color w:val="000000"/>
                <w:kern w:val="22"/>
                <w:szCs w:val="22"/>
                <w:lang w:eastAsia="en-CA"/>
              </w:rPr>
              <w:t> </w:t>
            </w:r>
          </w:p>
        </w:tc>
        <w:tc>
          <w:tcPr>
            <w:tcW w:w="10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2A45C50" w14:textId="77777777" w:rsidR="002B3874" w:rsidRPr="006E23F0" w:rsidRDefault="002B3874" w:rsidP="002B3874">
            <w:pPr>
              <w:jc w:val="center"/>
              <w:rPr>
                <w:color w:val="000000"/>
                <w:kern w:val="22"/>
                <w:szCs w:val="22"/>
                <w:lang w:eastAsia="en-CA"/>
              </w:rPr>
            </w:pPr>
            <w:r w:rsidRPr="006E23F0">
              <w:rPr>
                <w:color w:val="000000"/>
                <w:kern w:val="22"/>
                <w:szCs w:val="22"/>
                <w:lang w:eastAsia="en-CA"/>
              </w:rPr>
              <w:t>95.5</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6763BF0" w14:textId="77777777" w:rsidR="002B3874" w:rsidRPr="006E23F0" w:rsidRDefault="002B3874" w:rsidP="002B3874">
            <w:pPr>
              <w:jc w:val="center"/>
              <w:rPr>
                <w:color w:val="000000"/>
                <w:kern w:val="22"/>
                <w:szCs w:val="22"/>
                <w:lang w:eastAsia="en-CA"/>
              </w:rPr>
            </w:pPr>
            <w:r w:rsidRPr="006E23F0">
              <w:rPr>
                <w:color w:val="000000"/>
                <w:kern w:val="22"/>
                <w:szCs w:val="22"/>
                <w:lang w:eastAsia="en-CA"/>
              </w:rPr>
              <w:t>9.8</w:t>
            </w:r>
          </w:p>
        </w:tc>
        <w:tc>
          <w:tcPr>
            <w:tcW w:w="1080" w:type="dxa"/>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14:paraId="00E6159F" w14:textId="77777777" w:rsidR="002B3874" w:rsidRPr="006E23F0" w:rsidRDefault="002B3874" w:rsidP="002B3874">
            <w:pPr>
              <w:jc w:val="center"/>
              <w:rPr>
                <w:color w:val="000000"/>
                <w:kern w:val="22"/>
                <w:szCs w:val="22"/>
                <w:lang w:eastAsia="en-CA"/>
              </w:rPr>
            </w:pPr>
            <w:r w:rsidRPr="006E23F0">
              <w:rPr>
                <w:color w:val="000000"/>
                <w:kern w:val="22"/>
                <w:szCs w:val="22"/>
                <w:lang w:eastAsia="en-CA"/>
              </w:rPr>
              <w:t>20.6</w:t>
            </w:r>
          </w:p>
        </w:tc>
        <w:tc>
          <w:tcPr>
            <w:tcW w:w="985" w:type="dxa"/>
            <w:vMerge w:val="restart"/>
            <w:tcBorders>
              <w:top w:val="nil"/>
              <w:left w:val="single" w:sz="4" w:space="0" w:color="auto"/>
            </w:tcBorders>
            <w:shd w:val="clear" w:color="auto" w:fill="auto"/>
            <w:noWrap/>
            <w:vAlign w:val="center"/>
            <w:hideMark/>
          </w:tcPr>
          <w:p w14:paraId="15D8276B" w14:textId="77777777" w:rsidR="002B3874" w:rsidRPr="006E23F0" w:rsidRDefault="002B3874" w:rsidP="002B3874">
            <w:pPr>
              <w:jc w:val="center"/>
              <w:rPr>
                <w:b/>
                <w:bCs/>
                <w:color w:val="000000"/>
                <w:kern w:val="22"/>
                <w:szCs w:val="22"/>
                <w:lang w:eastAsia="en-CA"/>
              </w:rPr>
            </w:pPr>
            <w:r w:rsidRPr="006E23F0">
              <w:rPr>
                <w:b/>
                <w:bCs/>
                <w:color w:val="000000"/>
                <w:kern w:val="22"/>
                <w:szCs w:val="22"/>
                <w:lang w:eastAsia="en-CA"/>
              </w:rPr>
              <w:t>125.9</w:t>
            </w:r>
          </w:p>
        </w:tc>
      </w:tr>
      <w:tr w:rsidR="002B3874" w:rsidRPr="006E23F0" w14:paraId="2E1672C9" w14:textId="77777777" w:rsidTr="00487B30">
        <w:trPr>
          <w:trHeight w:val="458"/>
        </w:trPr>
        <w:tc>
          <w:tcPr>
            <w:tcW w:w="3924" w:type="dxa"/>
            <w:vMerge/>
            <w:tcBorders>
              <w:top w:val="nil"/>
              <w:left w:val="single" w:sz="4" w:space="0" w:color="auto"/>
              <w:bottom w:val="single" w:sz="4" w:space="0" w:color="auto"/>
              <w:right w:val="single" w:sz="4" w:space="0" w:color="auto"/>
            </w:tcBorders>
            <w:vAlign w:val="center"/>
            <w:hideMark/>
          </w:tcPr>
          <w:p w14:paraId="0BBDAC7A" w14:textId="77777777" w:rsidR="002B3874" w:rsidRPr="006E23F0" w:rsidRDefault="002B3874" w:rsidP="002B3874">
            <w:pPr>
              <w:rPr>
                <w:b/>
                <w:bCs/>
                <w:color w:val="000000"/>
                <w:kern w:val="22"/>
                <w:szCs w:val="22"/>
                <w:lang w:eastAsia="en-CA"/>
              </w:rPr>
            </w:pPr>
          </w:p>
        </w:tc>
        <w:tc>
          <w:tcPr>
            <w:tcW w:w="1227" w:type="dxa"/>
            <w:vMerge/>
            <w:tcBorders>
              <w:top w:val="nil"/>
              <w:left w:val="single" w:sz="4" w:space="0" w:color="auto"/>
              <w:bottom w:val="single" w:sz="4" w:space="0" w:color="auto"/>
              <w:right w:val="single" w:sz="4" w:space="0" w:color="auto"/>
            </w:tcBorders>
            <w:vAlign w:val="center"/>
            <w:hideMark/>
          </w:tcPr>
          <w:p w14:paraId="068E76B7" w14:textId="77777777" w:rsidR="002B3874" w:rsidRPr="006E23F0" w:rsidRDefault="002B3874" w:rsidP="002B3874">
            <w:pPr>
              <w:rPr>
                <w:rFonts w:ascii="Calibri" w:hAnsi="Calibri" w:cs="Calibri"/>
                <w:color w:val="000000"/>
                <w:kern w:val="22"/>
                <w:szCs w:val="22"/>
                <w:lang w:eastAsia="en-CA"/>
              </w:rPr>
            </w:pPr>
          </w:p>
        </w:tc>
        <w:tc>
          <w:tcPr>
            <w:tcW w:w="1054" w:type="dxa"/>
            <w:vMerge/>
            <w:tcBorders>
              <w:top w:val="nil"/>
              <w:left w:val="single" w:sz="4" w:space="0" w:color="auto"/>
              <w:bottom w:val="single" w:sz="4" w:space="0" w:color="auto"/>
              <w:right w:val="single" w:sz="4" w:space="0" w:color="auto"/>
            </w:tcBorders>
            <w:vAlign w:val="center"/>
            <w:hideMark/>
          </w:tcPr>
          <w:p w14:paraId="226CF0A9" w14:textId="77777777" w:rsidR="002B3874" w:rsidRPr="006E23F0" w:rsidRDefault="002B3874" w:rsidP="002B3874">
            <w:pPr>
              <w:rPr>
                <w:color w:val="000000"/>
                <w:kern w:val="22"/>
                <w:szCs w:val="22"/>
                <w:lang w:eastAsia="en-CA"/>
              </w:rPr>
            </w:pPr>
          </w:p>
        </w:tc>
        <w:tc>
          <w:tcPr>
            <w:tcW w:w="1080" w:type="dxa"/>
            <w:vMerge/>
            <w:tcBorders>
              <w:top w:val="nil"/>
              <w:left w:val="single" w:sz="4" w:space="0" w:color="auto"/>
              <w:bottom w:val="single" w:sz="4" w:space="0" w:color="auto"/>
              <w:right w:val="single" w:sz="4" w:space="0" w:color="auto"/>
            </w:tcBorders>
            <w:vAlign w:val="center"/>
            <w:hideMark/>
          </w:tcPr>
          <w:p w14:paraId="485938A2" w14:textId="77777777" w:rsidR="002B3874" w:rsidRPr="006E23F0" w:rsidRDefault="002B3874" w:rsidP="002B3874">
            <w:pPr>
              <w:rPr>
                <w:color w:val="000000"/>
                <w:kern w:val="22"/>
                <w:szCs w:val="22"/>
                <w:lang w:eastAsia="en-CA"/>
              </w:rPr>
            </w:pPr>
          </w:p>
        </w:tc>
        <w:tc>
          <w:tcPr>
            <w:tcW w:w="1080" w:type="dxa"/>
            <w:vMerge/>
            <w:tcBorders>
              <w:top w:val="single" w:sz="4" w:space="0" w:color="000000"/>
              <w:left w:val="single" w:sz="4" w:space="0" w:color="auto"/>
              <w:bottom w:val="single" w:sz="4" w:space="0" w:color="auto"/>
              <w:right w:val="single" w:sz="4" w:space="0" w:color="auto"/>
            </w:tcBorders>
            <w:vAlign w:val="center"/>
            <w:hideMark/>
          </w:tcPr>
          <w:p w14:paraId="21DE67A6" w14:textId="77777777" w:rsidR="002B3874" w:rsidRPr="006E23F0" w:rsidRDefault="002B3874" w:rsidP="002B3874">
            <w:pPr>
              <w:rPr>
                <w:color w:val="000000"/>
                <w:kern w:val="22"/>
                <w:szCs w:val="22"/>
                <w:lang w:eastAsia="en-CA"/>
              </w:rPr>
            </w:pPr>
          </w:p>
        </w:tc>
        <w:tc>
          <w:tcPr>
            <w:tcW w:w="985" w:type="dxa"/>
            <w:vMerge/>
            <w:tcBorders>
              <w:top w:val="nil"/>
              <w:left w:val="single" w:sz="4" w:space="0" w:color="auto"/>
            </w:tcBorders>
            <w:vAlign w:val="center"/>
            <w:hideMark/>
          </w:tcPr>
          <w:p w14:paraId="6C3AFD5B" w14:textId="77777777" w:rsidR="002B3874" w:rsidRPr="006E23F0" w:rsidRDefault="002B3874" w:rsidP="002B3874">
            <w:pPr>
              <w:rPr>
                <w:b/>
                <w:bCs/>
                <w:color w:val="000000"/>
                <w:kern w:val="22"/>
                <w:szCs w:val="22"/>
                <w:lang w:eastAsia="en-CA"/>
              </w:rPr>
            </w:pPr>
          </w:p>
        </w:tc>
        <w:bookmarkStart w:id="2" w:name="_GoBack"/>
        <w:bookmarkEnd w:id="2"/>
      </w:tr>
      <w:tr w:rsidR="002B3874" w:rsidRPr="006E23F0" w14:paraId="3DD85213" w14:textId="77777777" w:rsidTr="00487B30">
        <w:trPr>
          <w:trHeight w:val="458"/>
        </w:trPr>
        <w:tc>
          <w:tcPr>
            <w:tcW w:w="392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E3E640F" w14:textId="77777777" w:rsidR="002B3874" w:rsidRPr="006E23F0" w:rsidRDefault="002B3874" w:rsidP="002B3874">
            <w:pPr>
              <w:rPr>
                <w:b/>
                <w:bCs/>
                <w:color w:val="000000"/>
                <w:kern w:val="22"/>
                <w:szCs w:val="22"/>
                <w:lang w:eastAsia="en-CA"/>
              </w:rPr>
            </w:pPr>
            <w:r w:rsidRPr="006E23F0">
              <w:rPr>
                <w:b/>
                <w:bCs/>
                <w:color w:val="000000"/>
                <w:kern w:val="22"/>
                <w:szCs w:val="22"/>
                <w:lang w:eastAsia="en-CA"/>
              </w:rPr>
              <w:t>Total</w:t>
            </w:r>
          </w:p>
        </w:tc>
        <w:tc>
          <w:tcPr>
            <w:tcW w:w="122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A916187" w14:textId="77777777" w:rsidR="002B3874" w:rsidRPr="006E23F0" w:rsidRDefault="002B3874" w:rsidP="002B3874">
            <w:pPr>
              <w:jc w:val="center"/>
              <w:rPr>
                <w:b/>
                <w:bCs/>
                <w:color w:val="000000"/>
                <w:kern w:val="22"/>
                <w:szCs w:val="22"/>
                <w:lang w:eastAsia="en-CA"/>
              </w:rPr>
            </w:pPr>
            <w:r w:rsidRPr="006E23F0">
              <w:rPr>
                <w:b/>
                <w:bCs/>
                <w:color w:val="000000"/>
                <w:kern w:val="22"/>
                <w:szCs w:val="22"/>
                <w:lang w:eastAsia="en-CA"/>
              </w:rPr>
              <w:t>1,618.2</w:t>
            </w:r>
          </w:p>
        </w:tc>
        <w:tc>
          <w:tcPr>
            <w:tcW w:w="10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65735DC" w14:textId="77777777" w:rsidR="002B3874" w:rsidRPr="006E23F0" w:rsidRDefault="002B3874" w:rsidP="002B3874">
            <w:pPr>
              <w:jc w:val="center"/>
              <w:rPr>
                <w:b/>
                <w:bCs/>
                <w:color w:val="000000"/>
                <w:kern w:val="22"/>
                <w:szCs w:val="22"/>
                <w:lang w:eastAsia="en-CA"/>
              </w:rPr>
            </w:pPr>
            <w:r w:rsidRPr="006E23F0">
              <w:rPr>
                <w:b/>
                <w:bCs/>
                <w:color w:val="000000"/>
                <w:kern w:val="22"/>
                <w:szCs w:val="22"/>
                <w:lang w:eastAsia="en-CA"/>
              </w:rPr>
              <w:t>1,036.1</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ABA0D23" w14:textId="77777777" w:rsidR="002B3874" w:rsidRPr="006E23F0" w:rsidRDefault="002B3874" w:rsidP="002B3874">
            <w:pPr>
              <w:jc w:val="center"/>
              <w:rPr>
                <w:b/>
                <w:bCs/>
                <w:color w:val="000000"/>
                <w:kern w:val="22"/>
                <w:szCs w:val="22"/>
                <w:lang w:eastAsia="en-CA"/>
              </w:rPr>
            </w:pPr>
            <w:r w:rsidRPr="006E23F0">
              <w:rPr>
                <w:b/>
                <w:bCs/>
                <w:color w:val="000000"/>
                <w:kern w:val="22"/>
                <w:szCs w:val="22"/>
                <w:lang w:eastAsia="en-CA"/>
              </w:rPr>
              <w:t>122.8</w:t>
            </w:r>
          </w:p>
        </w:tc>
        <w:tc>
          <w:tcPr>
            <w:tcW w:w="1080" w:type="dxa"/>
            <w:vMerge w:val="restart"/>
            <w:tcBorders>
              <w:top w:val="single" w:sz="4" w:space="0" w:color="000000"/>
              <w:left w:val="single" w:sz="4" w:space="0" w:color="auto"/>
              <w:bottom w:val="single" w:sz="4" w:space="0" w:color="auto"/>
              <w:right w:val="single" w:sz="4" w:space="0" w:color="auto"/>
            </w:tcBorders>
            <w:shd w:val="clear" w:color="auto" w:fill="auto"/>
            <w:noWrap/>
            <w:vAlign w:val="center"/>
            <w:hideMark/>
          </w:tcPr>
          <w:p w14:paraId="4E96FE36" w14:textId="77777777" w:rsidR="002B3874" w:rsidRPr="006E23F0" w:rsidRDefault="002B3874" w:rsidP="002B3874">
            <w:pPr>
              <w:jc w:val="center"/>
              <w:rPr>
                <w:b/>
                <w:bCs/>
                <w:color w:val="000000"/>
                <w:kern w:val="22"/>
                <w:szCs w:val="22"/>
                <w:lang w:eastAsia="en-CA"/>
              </w:rPr>
            </w:pPr>
            <w:r w:rsidRPr="006E23F0">
              <w:rPr>
                <w:b/>
                <w:bCs/>
                <w:color w:val="000000"/>
                <w:kern w:val="22"/>
                <w:szCs w:val="22"/>
                <w:lang w:eastAsia="en-CA"/>
              </w:rPr>
              <w:t>187.3</w:t>
            </w:r>
          </w:p>
        </w:tc>
        <w:tc>
          <w:tcPr>
            <w:tcW w:w="985" w:type="dxa"/>
            <w:vMerge w:val="restart"/>
            <w:tcBorders>
              <w:top w:val="nil"/>
              <w:left w:val="single" w:sz="4" w:space="0" w:color="auto"/>
            </w:tcBorders>
            <w:shd w:val="clear" w:color="auto" w:fill="auto"/>
            <w:noWrap/>
            <w:vAlign w:val="center"/>
            <w:hideMark/>
          </w:tcPr>
          <w:p w14:paraId="11A33942" w14:textId="77777777" w:rsidR="002B3874" w:rsidRPr="006E23F0" w:rsidRDefault="002B3874" w:rsidP="002B3874">
            <w:pPr>
              <w:jc w:val="center"/>
              <w:rPr>
                <w:b/>
                <w:bCs/>
                <w:color w:val="000000"/>
                <w:kern w:val="22"/>
                <w:szCs w:val="22"/>
                <w:lang w:eastAsia="en-CA"/>
              </w:rPr>
            </w:pPr>
            <w:r w:rsidRPr="006E23F0">
              <w:rPr>
                <w:b/>
                <w:bCs/>
                <w:color w:val="000000"/>
                <w:kern w:val="22"/>
                <w:szCs w:val="22"/>
                <w:lang w:eastAsia="en-CA"/>
              </w:rPr>
              <w:t>2,964.4</w:t>
            </w:r>
          </w:p>
        </w:tc>
      </w:tr>
      <w:tr w:rsidR="002B3874" w:rsidRPr="006E23F0" w14:paraId="546ABBEF" w14:textId="77777777" w:rsidTr="00487B30">
        <w:trPr>
          <w:trHeight w:val="458"/>
        </w:trPr>
        <w:tc>
          <w:tcPr>
            <w:tcW w:w="3924" w:type="dxa"/>
            <w:vMerge/>
            <w:tcBorders>
              <w:top w:val="nil"/>
              <w:left w:val="single" w:sz="4" w:space="0" w:color="auto"/>
              <w:bottom w:val="single" w:sz="4" w:space="0" w:color="auto"/>
              <w:right w:val="single" w:sz="4" w:space="0" w:color="auto"/>
            </w:tcBorders>
            <w:vAlign w:val="center"/>
            <w:hideMark/>
          </w:tcPr>
          <w:p w14:paraId="2ED1661D" w14:textId="77777777" w:rsidR="002B3874" w:rsidRPr="006E23F0" w:rsidRDefault="002B3874" w:rsidP="002B3874">
            <w:pPr>
              <w:rPr>
                <w:b/>
                <w:bCs/>
                <w:color w:val="000000"/>
                <w:kern w:val="22"/>
                <w:szCs w:val="22"/>
                <w:lang w:eastAsia="en-CA"/>
              </w:rPr>
            </w:pPr>
          </w:p>
        </w:tc>
        <w:tc>
          <w:tcPr>
            <w:tcW w:w="1227" w:type="dxa"/>
            <w:vMerge/>
            <w:tcBorders>
              <w:top w:val="nil"/>
              <w:left w:val="single" w:sz="4" w:space="0" w:color="auto"/>
              <w:bottom w:val="single" w:sz="4" w:space="0" w:color="auto"/>
              <w:right w:val="single" w:sz="4" w:space="0" w:color="auto"/>
            </w:tcBorders>
            <w:vAlign w:val="center"/>
            <w:hideMark/>
          </w:tcPr>
          <w:p w14:paraId="32473DC1" w14:textId="77777777" w:rsidR="002B3874" w:rsidRPr="006E23F0" w:rsidRDefault="002B3874" w:rsidP="002B3874">
            <w:pPr>
              <w:rPr>
                <w:b/>
                <w:bCs/>
                <w:color w:val="000000"/>
                <w:kern w:val="22"/>
                <w:szCs w:val="22"/>
                <w:lang w:eastAsia="en-CA"/>
              </w:rPr>
            </w:pPr>
          </w:p>
        </w:tc>
        <w:tc>
          <w:tcPr>
            <w:tcW w:w="1054" w:type="dxa"/>
            <w:vMerge/>
            <w:tcBorders>
              <w:top w:val="nil"/>
              <w:left w:val="single" w:sz="4" w:space="0" w:color="auto"/>
              <w:bottom w:val="single" w:sz="4" w:space="0" w:color="auto"/>
              <w:right w:val="single" w:sz="4" w:space="0" w:color="auto"/>
            </w:tcBorders>
            <w:vAlign w:val="center"/>
            <w:hideMark/>
          </w:tcPr>
          <w:p w14:paraId="7218D912" w14:textId="77777777" w:rsidR="002B3874" w:rsidRPr="006E23F0" w:rsidRDefault="002B3874" w:rsidP="002B3874">
            <w:pPr>
              <w:rPr>
                <w:b/>
                <w:bCs/>
                <w:color w:val="000000"/>
                <w:kern w:val="22"/>
                <w:szCs w:val="22"/>
                <w:lang w:eastAsia="en-CA"/>
              </w:rPr>
            </w:pPr>
          </w:p>
        </w:tc>
        <w:tc>
          <w:tcPr>
            <w:tcW w:w="1080" w:type="dxa"/>
            <w:vMerge/>
            <w:tcBorders>
              <w:top w:val="nil"/>
              <w:left w:val="single" w:sz="4" w:space="0" w:color="auto"/>
              <w:bottom w:val="single" w:sz="4" w:space="0" w:color="auto"/>
              <w:right w:val="single" w:sz="4" w:space="0" w:color="auto"/>
            </w:tcBorders>
            <w:vAlign w:val="center"/>
            <w:hideMark/>
          </w:tcPr>
          <w:p w14:paraId="3E4C7E13" w14:textId="77777777" w:rsidR="002B3874" w:rsidRPr="006E23F0" w:rsidRDefault="002B3874" w:rsidP="002B3874">
            <w:pPr>
              <w:rPr>
                <w:b/>
                <w:bCs/>
                <w:color w:val="000000"/>
                <w:kern w:val="22"/>
                <w:szCs w:val="22"/>
                <w:lang w:eastAsia="en-CA"/>
              </w:rPr>
            </w:pPr>
          </w:p>
        </w:tc>
        <w:tc>
          <w:tcPr>
            <w:tcW w:w="1080" w:type="dxa"/>
            <w:vMerge/>
            <w:tcBorders>
              <w:top w:val="single" w:sz="4" w:space="0" w:color="000000"/>
              <w:left w:val="single" w:sz="4" w:space="0" w:color="auto"/>
              <w:bottom w:val="single" w:sz="4" w:space="0" w:color="auto"/>
              <w:right w:val="single" w:sz="4" w:space="0" w:color="auto"/>
            </w:tcBorders>
            <w:vAlign w:val="center"/>
            <w:hideMark/>
          </w:tcPr>
          <w:p w14:paraId="178D8688" w14:textId="77777777" w:rsidR="002B3874" w:rsidRPr="006E23F0" w:rsidRDefault="002B3874" w:rsidP="002B3874">
            <w:pPr>
              <w:rPr>
                <w:b/>
                <w:bCs/>
                <w:color w:val="000000"/>
                <w:kern w:val="22"/>
                <w:szCs w:val="22"/>
                <w:lang w:eastAsia="en-CA"/>
              </w:rPr>
            </w:pPr>
          </w:p>
        </w:tc>
        <w:tc>
          <w:tcPr>
            <w:tcW w:w="985" w:type="dxa"/>
            <w:vMerge/>
            <w:tcBorders>
              <w:top w:val="nil"/>
              <w:left w:val="single" w:sz="4" w:space="0" w:color="auto"/>
            </w:tcBorders>
            <w:vAlign w:val="center"/>
            <w:hideMark/>
          </w:tcPr>
          <w:p w14:paraId="2B6ECAE7" w14:textId="77777777" w:rsidR="002B3874" w:rsidRPr="006E23F0" w:rsidRDefault="002B3874" w:rsidP="002B3874">
            <w:pPr>
              <w:rPr>
                <w:b/>
                <w:bCs/>
                <w:color w:val="000000"/>
                <w:kern w:val="22"/>
                <w:szCs w:val="22"/>
                <w:lang w:eastAsia="en-CA"/>
              </w:rPr>
            </w:pPr>
          </w:p>
        </w:tc>
      </w:tr>
    </w:tbl>
    <w:p w14:paraId="68F47ADF" w14:textId="77777777" w:rsidR="002B3874" w:rsidRPr="005B4EF3" w:rsidRDefault="002B3874" w:rsidP="00382991">
      <w:pPr>
        <w:spacing w:before="120" w:after="120"/>
        <w:rPr>
          <w:kern w:val="22"/>
          <w:lang w:val="fr-FR"/>
        </w:rPr>
      </w:pPr>
    </w:p>
    <w:p w14:paraId="3CFBCCC1" w14:textId="70F3EEEC" w:rsidR="005A4571" w:rsidRPr="005B4EF3" w:rsidRDefault="00084E4F" w:rsidP="00084E4F">
      <w:pPr>
        <w:pStyle w:val="ListParagraph"/>
        <w:spacing w:before="120" w:after="120"/>
        <w:ind w:left="0"/>
        <w:contextualSpacing w:val="0"/>
        <w:rPr>
          <w:iCs/>
          <w:kern w:val="22"/>
          <w:lang w:val="fr-FR"/>
        </w:rPr>
      </w:pPr>
      <w:r>
        <w:rPr>
          <w:iCs/>
          <w:kern w:val="22"/>
          <w:lang w:val="fr-FR"/>
        </w:rPr>
        <w:t>12.</w:t>
      </w:r>
      <w:r>
        <w:rPr>
          <w:iCs/>
          <w:kern w:val="22"/>
          <w:lang w:val="fr-FR"/>
        </w:rPr>
        <w:tab/>
      </w:r>
      <w:r w:rsidR="005B4EF3" w:rsidRPr="005B4EF3">
        <w:rPr>
          <w:iCs/>
          <w:kern w:val="22"/>
          <w:lang w:val="fr-FR"/>
        </w:rPr>
        <w:t>L'excédent cumulé (sans compter la réserve de</w:t>
      </w:r>
      <w:r w:rsidR="000D73FF">
        <w:rPr>
          <w:iCs/>
          <w:kern w:val="22"/>
          <w:lang w:val="fr-FR"/>
        </w:rPr>
        <w:t xml:space="preserve"> trésorerie</w:t>
      </w:r>
      <w:r w:rsidR="005B4EF3" w:rsidRPr="005B4EF3">
        <w:rPr>
          <w:iCs/>
          <w:kern w:val="22"/>
          <w:lang w:val="fr-FR"/>
        </w:rPr>
        <w:t xml:space="preserve"> de 2 964 400 USD) des trois fonds </w:t>
      </w:r>
      <w:r w:rsidR="000D73FF">
        <w:rPr>
          <w:iCs/>
          <w:kern w:val="22"/>
          <w:lang w:val="fr-FR"/>
        </w:rPr>
        <w:t>d’affectation spéciale</w:t>
      </w:r>
      <w:r w:rsidR="005B4EF3" w:rsidRPr="005B4EF3">
        <w:rPr>
          <w:iCs/>
          <w:kern w:val="22"/>
          <w:lang w:val="fr-FR"/>
        </w:rPr>
        <w:t xml:space="preserve"> (BY, BG et BB) est estimé à 7 millions</w:t>
      </w:r>
      <w:r w:rsidR="00821A4E">
        <w:rPr>
          <w:iCs/>
          <w:kern w:val="22"/>
          <w:lang w:val="fr-FR"/>
        </w:rPr>
        <w:t xml:space="preserve"> dollars É.-U</w:t>
      </w:r>
      <w:r w:rsidR="005B4EF3" w:rsidRPr="005B4EF3">
        <w:rPr>
          <w:iCs/>
          <w:kern w:val="22"/>
          <w:lang w:val="fr-FR"/>
        </w:rPr>
        <w:t xml:space="preserve"> à la fin de 2020 et à 2,9 millions </w:t>
      </w:r>
      <w:r w:rsidR="00821A4E">
        <w:rPr>
          <w:iCs/>
          <w:kern w:val="22"/>
          <w:lang w:val="fr-FR"/>
        </w:rPr>
        <w:t>de dollars É.-U</w:t>
      </w:r>
      <w:r w:rsidR="00821A4E" w:rsidRPr="008F0C73">
        <w:rPr>
          <w:iCs/>
          <w:kern w:val="22"/>
          <w:lang w:val="fr-FR"/>
        </w:rPr>
        <w:t xml:space="preserve"> </w:t>
      </w:r>
      <w:r w:rsidR="005B4EF3" w:rsidRPr="005B4EF3">
        <w:rPr>
          <w:iCs/>
          <w:kern w:val="22"/>
          <w:lang w:val="fr-FR"/>
        </w:rPr>
        <w:t>après prise en compte des dépenses en 2021 à partir du budget existant au 31 décembre 2021. Cette projection est basée sur l'hypothèse qu'aucun</w:t>
      </w:r>
      <w:r w:rsidR="00726AD8">
        <w:rPr>
          <w:iCs/>
          <w:kern w:val="22"/>
          <w:lang w:val="fr-FR"/>
        </w:rPr>
        <w:t>e</w:t>
      </w:r>
      <w:r w:rsidR="005B4EF3" w:rsidRPr="005B4EF3">
        <w:rPr>
          <w:iCs/>
          <w:kern w:val="22"/>
          <w:lang w:val="fr-FR"/>
        </w:rPr>
        <w:t xml:space="preserve"> autre </w:t>
      </w:r>
      <w:r w:rsidR="00B51874">
        <w:rPr>
          <w:iCs/>
          <w:kern w:val="22"/>
          <w:lang w:val="fr-FR"/>
        </w:rPr>
        <w:t>contribution évaluée</w:t>
      </w:r>
      <w:r w:rsidR="005B4EF3" w:rsidRPr="005B4EF3">
        <w:rPr>
          <w:iCs/>
          <w:kern w:val="22"/>
          <w:lang w:val="fr-FR"/>
        </w:rPr>
        <w:t xml:space="preserve"> pour 2020 et les années précédentes ne ser</w:t>
      </w:r>
      <w:r w:rsidR="00726AD8">
        <w:rPr>
          <w:iCs/>
          <w:kern w:val="22"/>
          <w:lang w:val="fr-FR"/>
        </w:rPr>
        <w:t>ont</w:t>
      </w:r>
      <w:r w:rsidR="005B4EF3" w:rsidRPr="005B4EF3">
        <w:rPr>
          <w:iCs/>
          <w:kern w:val="22"/>
          <w:lang w:val="fr-FR"/>
        </w:rPr>
        <w:t xml:space="preserve"> reçu</w:t>
      </w:r>
      <w:r w:rsidR="00726AD8">
        <w:rPr>
          <w:iCs/>
          <w:kern w:val="22"/>
          <w:lang w:val="fr-FR"/>
        </w:rPr>
        <w:t>es</w:t>
      </w:r>
      <w:r w:rsidR="005B4EF3" w:rsidRPr="005B4EF3">
        <w:rPr>
          <w:iCs/>
          <w:kern w:val="22"/>
          <w:lang w:val="fr-FR"/>
        </w:rPr>
        <w:t xml:space="preserve"> par le Secrétariat.</w:t>
      </w:r>
    </w:p>
    <w:p w14:paraId="70100897" w14:textId="56267A52" w:rsidR="00317D76" w:rsidRPr="005B4EF3" w:rsidRDefault="00317D76" w:rsidP="004B7BD7">
      <w:pPr>
        <w:pStyle w:val="Style1"/>
        <w:rPr>
          <w:kern w:val="22"/>
          <w:lang w:val="fr-FR"/>
        </w:rPr>
      </w:pPr>
    </w:p>
    <w:p w14:paraId="09AFCF20" w14:textId="0BFDC838" w:rsidR="00DF2039" w:rsidRDefault="000624FC" w:rsidP="0054727D">
      <w:pPr>
        <w:spacing w:before="120" w:after="120"/>
        <w:rPr>
          <w:b/>
          <w:bCs/>
          <w:kern w:val="22"/>
          <w:szCs w:val="22"/>
          <w:lang w:val="fr-FR"/>
        </w:rPr>
      </w:pPr>
      <w:r w:rsidRPr="000624FC">
        <w:rPr>
          <w:b/>
          <w:bCs/>
          <w:kern w:val="22"/>
          <w:szCs w:val="22"/>
          <w:lang w:val="fr-FR"/>
        </w:rPr>
        <w:t>Tableau 4</w:t>
      </w:r>
    </w:p>
    <w:p w14:paraId="6288240F" w14:textId="27EDA536" w:rsidR="00DF2039" w:rsidRDefault="000624FC" w:rsidP="0054727D">
      <w:pPr>
        <w:spacing w:before="120" w:after="120"/>
        <w:rPr>
          <w:b/>
          <w:bCs/>
          <w:kern w:val="22"/>
          <w:szCs w:val="22"/>
          <w:lang w:val="fr-FR"/>
        </w:rPr>
      </w:pPr>
      <w:r w:rsidRPr="000624FC">
        <w:rPr>
          <w:b/>
          <w:bCs/>
          <w:kern w:val="22"/>
          <w:szCs w:val="22"/>
          <w:lang w:val="fr-FR"/>
        </w:rPr>
        <w:t xml:space="preserve">Excédent cumulatif prévu (à l'exclusion de la réserve </w:t>
      </w:r>
      <w:r w:rsidR="000D73FF">
        <w:rPr>
          <w:b/>
          <w:bCs/>
          <w:kern w:val="22"/>
          <w:szCs w:val="22"/>
          <w:lang w:val="fr-FR"/>
        </w:rPr>
        <w:t>de</w:t>
      </w:r>
      <w:r w:rsidRPr="000624FC">
        <w:rPr>
          <w:b/>
          <w:bCs/>
          <w:kern w:val="22"/>
          <w:szCs w:val="22"/>
          <w:lang w:val="fr-FR"/>
        </w:rPr>
        <w:t xml:space="preserve"> trésorerie)</w:t>
      </w:r>
    </w:p>
    <w:p w14:paraId="6D5FAC66" w14:textId="5282D48D" w:rsidR="00DF2039" w:rsidRPr="006E23F0" w:rsidRDefault="00DF2039" w:rsidP="0054727D">
      <w:pPr>
        <w:spacing w:before="120" w:after="120"/>
        <w:rPr>
          <w:kern w:val="22"/>
          <w:lang w:val="fr-CA"/>
        </w:rPr>
      </w:pPr>
      <w:r w:rsidRPr="006E23F0">
        <w:rPr>
          <w:kern w:val="22"/>
          <w:lang w:val="fr-CA"/>
        </w:rPr>
        <w:t>(</w:t>
      </w:r>
      <w:r w:rsidRPr="00F02283">
        <w:rPr>
          <w:i/>
          <w:iCs/>
          <w:kern w:val="22"/>
          <w:lang w:val="fr-FR"/>
        </w:rPr>
        <w:t>En milliers de dollars américai</w:t>
      </w:r>
      <w:r w:rsidR="00F4663F">
        <w:rPr>
          <w:i/>
          <w:iCs/>
          <w:kern w:val="22"/>
          <w:lang w:val="fr-FR"/>
        </w:rPr>
        <w:t>ns)</w:t>
      </w:r>
    </w:p>
    <w:tbl>
      <w:tblPr>
        <w:tblStyle w:val="TableGrid"/>
        <w:tblW w:w="0" w:type="auto"/>
        <w:tblLook w:val="04A0" w:firstRow="1" w:lastRow="0" w:firstColumn="1" w:lastColumn="0" w:noHBand="0" w:noVBand="1"/>
      </w:tblPr>
      <w:tblGrid>
        <w:gridCol w:w="1615"/>
        <w:gridCol w:w="1530"/>
        <w:gridCol w:w="2430"/>
        <w:gridCol w:w="2160"/>
        <w:gridCol w:w="1080"/>
      </w:tblGrid>
      <w:tr w:rsidR="0054727D" w:rsidRPr="006E23F0" w14:paraId="06490D2A" w14:textId="77777777" w:rsidTr="006E23F0">
        <w:tc>
          <w:tcPr>
            <w:tcW w:w="1615" w:type="dxa"/>
          </w:tcPr>
          <w:p w14:paraId="035F2CAC" w14:textId="222B0AC1" w:rsidR="0054727D" w:rsidRPr="006E23F0" w:rsidRDefault="00DF2039" w:rsidP="00DF2039">
            <w:pPr>
              <w:spacing w:before="120" w:after="120"/>
              <w:jc w:val="center"/>
              <w:rPr>
                <w:i/>
                <w:iCs/>
                <w:kern w:val="22"/>
                <w:sz w:val="22"/>
                <w:szCs w:val="22"/>
                <w:lang w:val="fr-FR"/>
              </w:rPr>
            </w:pPr>
            <w:r w:rsidRPr="006E23F0">
              <w:rPr>
                <w:i/>
                <w:iCs/>
                <w:kern w:val="22"/>
                <w:sz w:val="22"/>
                <w:szCs w:val="22"/>
                <w:lang w:val="fr-FR"/>
              </w:rPr>
              <w:t>Date</w:t>
            </w:r>
          </w:p>
        </w:tc>
        <w:tc>
          <w:tcPr>
            <w:tcW w:w="1530" w:type="dxa"/>
          </w:tcPr>
          <w:p w14:paraId="7541792E" w14:textId="77777777" w:rsidR="0054727D" w:rsidRPr="006E23F0" w:rsidRDefault="0054727D" w:rsidP="00DF2039">
            <w:pPr>
              <w:spacing w:before="120" w:after="120"/>
              <w:jc w:val="center"/>
              <w:rPr>
                <w:i/>
                <w:iCs/>
                <w:kern w:val="22"/>
                <w:sz w:val="22"/>
                <w:szCs w:val="22"/>
                <w:lang w:val="fr-FR"/>
              </w:rPr>
            </w:pPr>
            <w:r w:rsidRPr="006E23F0">
              <w:rPr>
                <w:i/>
                <w:iCs/>
                <w:kern w:val="22"/>
                <w:sz w:val="22"/>
                <w:szCs w:val="22"/>
                <w:lang w:val="fr-FR"/>
              </w:rPr>
              <w:t>Convention</w:t>
            </w:r>
          </w:p>
        </w:tc>
        <w:tc>
          <w:tcPr>
            <w:tcW w:w="2430" w:type="dxa"/>
          </w:tcPr>
          <w:p w14:paraId="6BD2CA7A" w14:textId="7E0A187C" w:rsidR="0054727D" w:rsidRPr="006E23F0" w:rsidRDefault="000624FC" w:rsidP="00DF2039">
            <w:pPr>
              <w:spacing w:before="120" w:after="120"/>
              <w:jc w:val="center"/>
              <w:rPr>
                <w:i/>
                <w:iCs/>
                <w:kern w:val="22"/>
                <w:sz w:val="22"/>
                <w:szCs w:val="22"/>
                <w:lang w:val="fr-FR"/>
              </w:rPr>
            </w:pPr>
            <w:r w:rsidRPr="006E23F0">
              <w:rPr>
                <w:i/>
                <w:iCs/>
                <w:kern w:val="22"/>
                <w:sz w:val="22"/>
                <w:szCs w:val="22"/>
                <w:lang w:val="fr-FR"/>
              </w:rPr>
              <w:t>Protocole de Cartagena</w:t>
            </w:r>
          </w:p>
        </w:tc>
        <w:tc>
          <w:tcPr>
            <w:tcW w:w="2160" w:type="dxa"/>
          </w:tcPr>
          <w:p w14:paraId="10AE9266" w14:textId="63D880D7" w:rsidR="0054727D" w:rsidRPr="006E23F0" w:rsidRDefault="000624FC" w:rsidP="00880316">
            <w:pPr>
              <w:spacing w:before="120" w:after="120"/>
              <w:rPr>
                <w:i/>
                <w:iCs/>
                <w:kern w:val="22"/>
                <w:sz w:val="22"/>
                <w:szCs w:val="22"/>
                <w:lang w:val="fr-FR"/>
              </w:rPr>
            </w:pPr>
            <w:r w:rsidRPr="006E23F0">
              <w:rPr>
                <w:i/>
                <w:iCs/>
                <w:kern w:val="22"/>
                <w:sz w:val="22"/>
                <w:szCs w:val="22"/>
                <w:lang w:val="fr-FR"/>
              </w:rPr>
              <w:t>Protocole de Na</w:t>
            </w:r>
            <w:r w:rsidR="000D73FF" w:rsidRPr="006E23F0">
              <w:rPr>
                <w:i/>
                <w:iCs/>
                <w:kern w:val="22"/>
                <w:sz w:val="22"/>
                <w:szCs w:val="22"/>
                <w:lang w:val="fr-FR"/>
              </w:rPr>
              <w:t>goya</w:t>
            </w:r>
          </w:p>
        </w:tc>
        <w:tc>
          <w:tcPr>
            <w:tcW w:w="1080" w:type="dxa"/>
          </w:tcPr>
          <w:p w14:paraId="14331213" w14:textId="77777777" w:rsidR="0054727D" w:rsidRPr="006E23F0" w:rsidRDefault="0054727D" w:rsidP="00DF2039">
            <w:pPr>
              <w:spacing w:before="120" w:after="120"/>
              <w:jc w:val="center"/>
              <w:rPr>
                <w:i/>
                <w:iCs/>
                <w:kern w:val="22"/>
                <w:sz w:val="22"/>
                <w:szCs w:val="22"/>
                <w:lang w:val="fr-FR"/>
              </w:rPr>
            </w:pPr>
            <w:r w:rsidRPr="006E23F0">
              <w:rPr>
                <w:i/>
                <w:iCs/>
                <w:kern w:val="22"/>
                <w:sz w:val="22"/>
                <w:szCs w:val="22"/>
                <w:lang w:val="fr-FR"/>
              </w:rPr>
              <w:t>Total</w:t>
            </w:r>
          </w:p>
        </w:tc>
      </w:tr>
      <w:tr w:rsidR="0054727D" w:rsidRPr="006E23F0" w14:paraId="1F5CD93B" w14:textId="77777777" w:rsidTr="006E23F0">
        <w:tc>
          <w:tcPr>
            <w:tcW w:w="1615" w:type="dxa"/>
          </w:tcPr>
          <w:p w14:paraId="14CEDCD3" w14:textId="5AEC9029" w:rsidR="0054727D" w:rsidRPr="006E23F0" w:rsidRDefault="000624FC" w:rsidP="00880316">
            <w:pPr>
              <w:spacing w:before="120" w:after="120"/>
              <w:rPr>
                <w:kern w:val="22"/>
                <w:sz w:val="22"/>
                <w:szCs w:val="22"/>
                <w:lang w:val="fr-FR"/>
              </w:rPr>
            </w:pPr>
            <w:r w:rsidRPr="006E23F0">
              <w:rPr>
                <w:kern w:val="22"/>
                <w:sz w:val="22"/>
                <w:szCs w:val="22"/>
                <w:lang w:val="fr-FR"/>
              </w:rPr>
              <w:t>Réserves au 31 décembre 2020</w:t>
            </w:r>
          </w:p>
        </w:tc>
        <w:tc>
          <w:tcPr>
            <w:tcW w:w="1530" w:type="dxa"/>
          </w:tcPr>
          <w:p w14:paraId="5EFA465E" w14:textId="002107B8" w:rsidR="0054727D" w:rsidRPr="006E23F0" w:rsidRDefault="0076581C" w:rsidP="00F4663F">
            <w:pPr>
              <w:spacing w:before="120" w:after="120"/>
              <w:jc w:val="center"/>
              <w:rPr>
                <w:kern w:val="22"/>
                <w:sz w:val="22"/>
                <w:szCs w:val="22"/>
                <w:lang w:val="fr-FR"/>
              </w:rPr>
            </w:pPr>
            <w:r w:rsidRPr="006E23F0">
              <w:rPr>
                <w:kern w:val="22"/>
                <w:sz w:val="22"/>
                <w:szCs w:val="22"/>
                <w:lang w:val="fr-FR"/>
              </w:rPr>
              <w:t>$</w:t>
            </w:r>
            <w:r w:rsidR="00317D76" w:rsidRPr="006E23F0">
              <w:rPr>
                <w:kern w:val="22"/>
                <w:sz w:val="22"/>
                <w:szCs w:val="22"/>
                <w:lang w:val="fr-FR"/>
              </w:rPr>
              <w:t>4</w:t>
            </w:r>
            <w:r w:rsidR="00726AD8" w:rsidRPr="006E23F0">
              <w:rPr>
                <w:kern w:val="22"/>
                <w:sz w:val="22"/>
                <w:szCs w:val="22"/>
                <w:lang w:val="fr-FR"/>
              </w:rPr>
              <w:t>,6</w:t>
            </w:r>
          </w:p>
        </w:tc>
        <w:tc>
          <w:tcPr>
            <w:tcW w:w="2430" w:type="dxa"/>
          </w:tcPr>
          <w:p w14:paraId="426A7B6F" w14:textId="0E31DB97" w:rsidR="0054727D" w:rsidRPr="006E23F0" w:rsidRDefault="0054727D" w:rsidP="00F4663F">
            <w:pPr>
              <w:spacing w:before="120" w:after="120"/>
              <w:jc w:val="center"/>
              <w:rPr>
                <w:kern w:val="22"/>
                <w:sz w:val="22"/>
                <w:szCs w:val="22"/>
                <w:lang w:val="fr-FR"/>
              </w:rPr>
            </w:pPr>
            <w:r w:rsidRPr="006E23F0">
              <w:rPr>
                <w:kern w:val="22"/>
                <w:sz w:val="22"/>
                <w:szCs w:val="22"/>
                <w:lang w:val="fr-FR"/>
              </w:rPr>
              <w:t xml:space="preserve">$ </w:t>
            </w:r>
            <w:r w:rsidR="00317D76" w:rsidRPr="006E23F0">
              <w:rPr>
                <w:kern w:val="22"/>
                <w:sz w:val="22"/>
                <w:szCs w:val="22"/>
                <w:lang w:val="fr-FR"/>
              </w:rPr>
              <w:t>1.9</w:t>
            </w:r>
          </w:p>
        </w:tc>
        <w:tc>
          <w:tcPr>
            <w:tcW w:w="2160" w:type="dxa"/>
          </w:tcPr>
          <w:p w14:paraId="0A0E31C3" w14:textId="29C1D6BF" w:rsidR="0054727D" w:rsidRPr="006E23F0" w:rsidRDefault="0054727D" w:rsidP="00F4663F">
            <w:pPr>
              <w:spacing w:before="120" w:after="120"/>
              <w:jc w:val="center"/>
              <w:rPr>
                <w:kern w:val="22"/>
                <w:sz w:val="22"/>
                <w:szCs w:val="22"/>
                <w:lang w:val="fr-FR"/>
              </w:rPr>
            </w:pPr>
            <w:r w:rsidRPr="006E23F0">
              <w:rPr>
                <w:kern w:val="22"/>
                <w:sz w:val="22"/>
                <w:szCs w:val="22"/>
                <w:lang w:val="fr-FR"/>
              </w:rPr>
              <w:t>$</w:t>
            </w:r>
            <w:r w:rsidR="00726AD8" w:rsidRPr="006E23F0">
              <w:rPr>
                <w:kern w:val="22"/>
                <w:sz w:val="22"/>
                <w:szCs w:val="22"/>
                <w:lang w:val="fr-FR"/>
              </w:rPr>
              <w:t>0.5</w:t>
            </w:r>
          </w:p>
        </w:tc>
        <w:tc>
          <w:tcPr>
            <w:tcW w:w="1080" w:type="dxa"/>
          </w:tcPr>
          <w:p w14:paraId="5D97B08C" w14:textId="0C5829A6" w:rsidR="0054727D" w:rsidRPr="006E23F0" w:rsidRDefault="0054727D" w:rsidP="00F4663F">
            <w:pPr>
              <w:spacing w:before="120" w:after="120"/>
              <w:jc w:val="center"/>
              <w:rPr>
                <w:b/>
                <w:bCs/>
                <w:kern w:val="22"/>
                <w:sz w:val="22"/>
                <w:szCs w:val="22"/>
                <w:lang w:val="fr-FR"/>
              </w:rPr>
            </w:pPr>
            <w:r w:rsidRPr="006E23F0">
              <w:rPr>
                <w:b/>
                <w:bCs/>
                <w:kern w:val="22"/>
                <w:sz w:val="22"/>
                <w:szCs w:val="22"/>
                <w:lang w:val="fr-FR"/>
              </w:rPr>
              <w:t>$</w:t>
            </w:r>
            <w:r w:rsidR="00317D76" w:rsidRPr="006E23F0">
              <w:rPr>
                <w:b/>
                <w:bCs/>
                <w:kern w:val="22"/>
                <w:sz w:val="22"/>
                <w:szCs w:val="22"/>
                <w:lang w:val="fr-FR"/>
              </w:rPr>
              <w:t>7</w:t>
            </w:r>
          </w:p>
        </w:tc>
      </w:tr>
      <w:tr w:rsidR="00814086" w:rsidRPr="006E23F0" w14:paraId="27D1D859" w14:textId="77777777" w:rsidTr="006E23F0">
        <w:tc>
          <w:tcPr>
            <w:tcW w:w="1615" w:type="dxa"/>
          </w:tcPr>
          <w:p w14:paraId="7799E017" w14:textId="1FD2F0A6" w:rsidR="00814086" w:rsidRPr="006E23F0" w:rsidRDefault="000624FC" w:rsidP="00880316">
            <w:pPr>
              <w:spacing w:before="120" w:after="120"/>
              <w:rPr>
                <w:kern w:val="22"/>
                <w:sz w:val="22"/>
                <w:szCs w:val="22"/>
                <w:lang w:val="fr-FR"/>
              </w:rPr>
            </w:pPr>
            <w:r w:rsidRPr="006E23F0">
              <w:rPr>
                <w:kern w:val="22"/>
                <w:sz w:val="22"/>
                <w:szCs w:val="22"/>
                <w:lang w:val="fr-FR"/>
              </w:rPr>
              <w:t>Réserves au 31 décembre 2020</w:t>
            </w:r>
          </w:p>
        </w:tc>
        <w:tc>
          <w:tcPr>
            <w:tcW w:w="1530" w:type="dxa"/>
          </w:tcPr>
          <w:p w14:paraId="6536C392" w14:textId="2D427D34" w:rsidR="00814086" w:rsidRPr="006E23F0" w:rsidRDefault="0076581C" w:rsidP="00F4663F">
            <w:pPr>
              <w:spacing w:before="120" w:after="120"/>
              <w:jc w:val="center"/>
              <w:rPr>
                <w:kern w:val="22"/>
                <w:sz w:val="22"/>
                <w:szCs w:val="22"/>
                <w:lang w:val="fr-FR"/>
              </w:rPr>
            </w:pPr>
            <w:r w:rsidRPr="006E23F0">
              <w:rPr>
                <w:kern w:val="22"/>
                <w:sz w:val="22"/>
                <w:szCs w:val="22"/>
                <w:lang w:val="fr-FR"/>
              </w:rPr>
              <w:t>$</w:t>
            </w:r>
            <w:r w:rsidR="00317D76" w:rsidRPr="006E23F0">
              <w:rPr>
                <w:kern w:val="22"/>
                <w:sz w:val="22"/>
                <w:szCs w:val="22"/>
                <w:lang w:val="fr-FR"/>
              </w:rPr>
              <w:t>1.6</w:t>
            </w:r>
          </w:p>
        </w:tc>
        <w:tc>
          <w:tcPr>
            <w:tcW w:w="2430" w:type="dxa"/>
          </w:tcPr>
          <w:p w14:paraId="00F9A391" w14:textId="6AC9FAB2" w:rsidR="00814086" w:rsidRPr="006E23F0" w:rsidRDefault="0076581C" w:rsidP="00F4663F">
            <w:pPr>
              <w:spacing w:before="120" w:after="120"/>
              <w:jc w:val="center"/>
              <w:rPr>
                <w:kern w:val="22"/>
                <w:sz w:val="22"/>
                <w:szCs w:val="22"/>
                <w:lang w:val="fr-FR"/>
              </w:rPr>
            </w:pPr>
            <w:r w:rsidRPr="006E23F0">
              <w:rPr>
                <w:kern w:val="22"/>
                <w:sz w:val="22"/>
                <w:szCs w:val="22"/>
                <w:lang w:val="fr-FR"/>
              </w:rPr>
              <w:t>$</w:t>
            </w:r>
            <w:r w:rsidR="00317D76" w:rsidRPr="006E23F0">
              <w:rPr>
                <w:kern w:val="22"/>
                <w:sz w:val="22"/>
                <w:szCs w:val="22"/>
                <w:lang w:val="fr-FR"/>
              </w:rPr>
              <w:t>1.3</w:t>
            </w:r>
          </w:p>
        </w:tc>
        <w:tc>
          <w:tcPr>
            <w:tcW w:w="2160" w:type="dxa"/>
          </w:tcPr>
          <w:p w14:paraId="040497E5" w14:textId="61A37174" w:rsidR="00814086" w:rsidRPr="006E23F0" w:rsidRDefault="0076581C" w:rsidP="00F4663F">
            <w:pPr>
              <w:spacing w:before="120" w:after="120"/>
              <w:jc w:val="center"/>
              <w:rPr>
                <w:kern w:val="22"/>
                <w:sz w:val="22"/>
                <w:szCs w:val="22"/>
                <w:lang w:val="fr-FR"/>
              </w:rPr>
            </w:pPr>
            <w:r w:rsidRPr="006E23F0">
              <w:rPr>
                <w:kern w:val="22"/>
                <w:sz w:val="22"/>
                <w:szCs w:val="22"/>
                <w:lang w:val="fr-FR"/>
              </w:rPr>
              <w:t>$</w:t>
            </w:r>
            <w:r w:rsidR="00E45988" w:rsidRPr="006E23F0">
              <w:rPr>
                <w:kern w:val="22"/>
                <w:sz w:val="22"/>
                <w:szCs w:val="22"/>
                <w:lang w:val="fr-FR"/>
              </w:rPr>
              <w:t>0.</w:t>
            </w:r>
            <w:r w:rsidR="00317D76" w:rsidRPr="006E23F0">
              <w:rPr>
                <w:kern w:val="22"/>
                <w:sz w:val="22"/>
                <w:szCs w:val="22"/>
                <w:lang w:val="fr-FR"/>
              </w:rPr>
              <w:t>05</w:t>
            </w:r>
          </w:p>
        </w:tc>
        <w:tc>
          <w:tcPr>
            <w:tcW w:w="1080" w:type="dxa"/>
          </w:tcPr>
          <w:p w14:paraId="3F43D1BB" w14:textId="56445378" w:rsidR="00814086" w:rsidRPr="006E23F0" w:rsidRDefault="0076581C" w:rsidP="00F4663F">
            <w:pPr>
              <w:spacing w:before="120" w:after="120"/>
              <w:jc w:val="center"/>
              <w:rPr>
                <w:b/>
                <w:bCs/>
                <w:kern w:val="22"/>
                <w:sz w:val="22"/>
                <w:szCs w:val="22"/>
                <w:lang w:val="fr-FR"/>
              </w:rPr>
            </w:pPr>
            <w:r w:rsidRPr="006E23F0">
              <w:rPr>
                <w:b/>
                <w:bCs/>
                <w:kern w:val="22"/>
                <w:sz w:val="22"/>
                <w:szCs w:val="22"/>
                <w:lang w:val="fr-FR"/>
              </w:rPr>
              <w:t>$</w:t>
            </w:r>
            <w:r w:rsidR="00317D76" w:rsidRPr="006E23F0">
              <w:rPr>
                <w:b/>
                <w:bCs/>
                <w:kern w:val="22"/>
                <w:sz w:val="22"/>
                <w:szCs w:val="22"/>
                <w:lang w:val="fr-FR"/>
              </w:rPr>
              <w:t>2</w:t>
            </w:r>
            <w:r w:rsidR="00726AD8" w:rsidRPr="006E23F0">
              <w:rPr>
                <w:b/>
                <w:bCs/>
                <w:kern w:val="22"/>
                <w:sz w:val="22"/>
                <w:szCs w:val="22"/>
                <w:lang w:val="fr-FR"/>
              </w:rPr>
              <w:t>,95</w:t>
            </w:r>
          </w:p>
        </w:tc>
      </w:tr>
    </w:tbl>
    <w:p w14:paraId="62242BA0" w14:textId="77777777" w:rsidR="0064092C" w:rsidRPr="005B4EF3" w:rsidRDefault="0064092C" w:rsidP="00382991">
      <w:pPr>
        <w:spacing w:before="120" w:after="120"/>
        <w:rPr>
          <w:kern w:val="22"/>
          <w:lang w:val="fr-FR"/>
        </w:rPr>
      </w:pPr>
    </w:p>
    <w:p w14:paraId="3B334EA6" w14:textId="7B0B5CBC" w:rsidR="00F56269" w:rsidRPr="005B4EF3" w:rsidRDefault="00473B0B" w:rsidP="006E23F0">
      <w:pPr>
        <w:pStyle w:val="Default"/>
        <w:numPr>
          <w:ilvl w:val="0"/>
          <w:numId w:val="9"/>
        </w:numPr>
        <w:ind w:left="1170" w:hanging="630"/>
        <w:rPr>
          <w:rFonts w:eastAsiaTheme="minorEastAsia"/>
          <w:b/>
          <w:bCs/>
          <w:kern w:val="22"/>
          <w:sz w:val="22"/>
          <w:szCs w:val="22"/>
          <w:lang w:val="fr-FR"/>
        </w:rPr>
      </w:pPr>
      <w:r>
        <w:rPr>
          <w:rFonts w:eastAsiaTheme="minorEastAsia"/>
          <w:b/>
          <w:bCs/>
          <w:kern w:val="22"/>
          <w:sz w:val="22"/>
          <w:szCs w:val="22"/>
          <w:lang w:val="fr-FR"/>
        </w:rPr>
        <w:t>PROPOSITION VISANT À PROLONGER LA VALIDITÉ DU BUDGET INTÉGRÉ APPROUVÉ POUR 2019</w:t>
      </w:r>
      <w:r w:rsidR="00AC25E0">
        <w:rPr>
          <w:rFonts w:eastAsiaTheme="minorEastAsia"/>
          <w:b/>
          <w:bCs/>
          <w:kern w:val="22"/>
          <w:sz w:val="22"/>
          <w:szCs w:val="22"/>
          <w:lang w:val="fr-FR"/>
        </w:rPr>
        <w:t>-</w:t>
      </w:r>
      <w:r>
        <w:rPr>
          <w:rFonts w:eastAsiaTheme="minorEastAsia"/>
          <w:b/>
          <w:bCs/>
          <w:kern w:val="22"/>
          <w:sz w:val="22"/>
          <w:szCs w:val="22"/>
          <w:lang w:val="fr-FR"/>
        </w:rPr>
        <w:t>2020</w:t>
      </w:r>
    </w:p>
    <w:p w14:paraId="2C859224" w14:textId="77777777" w:rsidR="00321839" w:rsidRPr="00014329" w:rsidRDefault="00321839" w:rsidP="00321839">
      <w:pPr>
        <w:pStyle w:val="Style1"/>
        <w:spacing w:before="0" w:after="0"/>
        <w:jc w:val="both"/>
        <w:rPr>
          <w:kern w:val="22"/>
          <w:lang w:val="fr-FR"/>
        </w:rPr>
      </w:pPr>
    </w:p>
    <w:p w14:paraId="4FBA59BD" w14:textId="0833B71A" w:rsidR="0058524C" w:rsidRPr="00014329" w:rsidRDefault="00084E4F" w:rsidP="00084E4F">
      <w:pPr>
        <w:pStyle w:val="ListParagraph"/>
        <w:spacing w:before="120" w:after="120"/>
        <w:ind w:left="0"/>
        <w:contextualSpacing w:val="0"/>
        <w:rPr>
          <w:iCs/>
          <w:kern w:val="22"/>
          <w:lang w:val="fr-FR"/>
        </w:rPr>
      </w:pPr>
      <w:r>
        <w:rPr>
          <w:iCs/>
          <w:kern w:val="22"/>
          <w:lang w:val="fr-FR"/>
        </w:rPr>
        <w:t>13.</w:t>
      </w:r>
      <w:r>
        <w:rPr>
          <w:iCs/>
          <w:kern w:val="22"/>
          <w:lang w:val="fr-FR"/>
        </w:rPr>
        <w:tab/>
      </w:r>
      <w:r w:rsidR="005B4EF3" w:rsidRPr="00014329">
        <w:rPr>
          <w:iCs/>
          <w:kern w:val="22"/>
          <w:lang w:val="fr-FR"/>
        </w:rPr>
        <w:t xml:space="preserve">En raison de diverses restrictions imposées par les gouvernements du monde entier pour lutter contre la pandémie de COVID-19 et des incertitudes liées à </w:t>
      </w:r>
      <w:r w:rsidR="00F76ACA">
        <w:rPr>
          <w:iCs/>
          <w:kern w:val="22"/>
          <w:lang w:val="fr-FR"/>
        </w:rPr>
        <w:t>celle-ci</w:t>
      </w:r>
      <w:r w:rsidR="005B4EF3" w:rsidRPr="00014329">
        <w:rPr>
          <w:iCs/>
          <w:kern w:val="22"/>
          <w:lang w:val="fr-FR"/>
        </w:rPr>
        <w:t xml:space="preserve"> ainsi qu'à la nature et à la durée des mesures d'intervention de chaque gouvernement, la </w:t>
      </w:r>
      <w:r w:rsidR="00E14390">
        <w:rPr>
          <w:iCs/>
          <w:kern w:val="22"/>
          <w:lang w:val="fr-FR"/>
        </w:rPr>
        <w:t>quinzième réunion de la Conférence des Parties</w:t>
      </w:r>
      <w:r w:rsidR="005B4EF3" w:rsidRPr="00014329">
        <w:rPr>
          <w:iCs/>
          <w:kern w:val="22"/>
          <w:lang w:val="fr-FR"/>
        </w:rPr>
        <w:t xml:space="preserve"> et les réunions simultanées des organes directeurs des </w:t>
      </w:r>
      <w:r w:rsidR="000D568A">
        <w:rPr>
          <w:iCs/>
          <w:kern w:val="22"/>
          <w:lang w:val="fr-FR"/>
        </w:rPr>
        <w:t>P</w:t>
      </w:r>
      <w:r w:rsidR="005B4EF3" w:rsidRPr="00014329">
        <w:rPr>
          <w:iCs/>
          <w:kern w:val="22"/>
          <w:lang w:val="fr-FR"/>
        </w:rPr>
        <w:t xml:space="preserve">rotocoles, les réunions physiques </w:t>
      </w:r>
      <w:r w:rsidR="00E14390">
        <w:rPr>
          <w:iCs/>
          <w:kern w:val="22"/>
          <w:lang w:val="fr-FR"/>
        </w:rPr>
        <w:t>des deux organes subsidiaires</w:t>
      </w:r>
      <w:r w:rsidR="005B4EF3" w:rsidRPr="00014329">
        <w:rPr>
          <w:iCs/>
          <w:kern w:val="22"/>
          <w:lang w:val="fr-FR"/>
        </w:rPr>
        <w:t xml:space="preserve"> ainsi que la troisième réunion du </w:t>
      </w:r>
      <w:r w:rsidR="00E14390">
        <w:rPr>
          <w:iCs/>
          <w:kern w:val="22"/>
          <w:lang w:val="fr-FR"/>
        </w:rPr>
        <w:t>Groupe de travail sur le cadre mondial de la biodiversité pour l’après-2020</w:t>
      </w:r>
      <w:r w:rsidR="005B4EF3" w:rsidRPr="00014329">
        <w:rPr>
          <w:iCs/>
          <w:kern w:val="22"/>
          <w:lang w:val="fr-FR"/>
        </w:rPr>
        <w:t xml:space="preserve"> ne peuvent être convoquées en 2020. Il est actuellement prévu de tenir ces réunions en 2021</w:t>
      </w:r>
      <w:r w:rsidR="00DC7648">
        <w:rPr>
          <w:rStyle w:val="FootnoteReference"/>
          <w:iCs/>
          <w:kern w:val="22"/>
        </w:rPr>
        <w:footnoteReference w:customMarkFollows="1" w:id="6"/>
        <w:t>3</w:t>
      </w:r>
      <w:r w:rsidR="005B4EF3" w:rsidRPr="00014329">
        <w:rPr>
          <w:iCs/>
          <w:kern w:val="22"/>
          <w:lang w:val="fr-FR"/>
        </w:rPr>
        <w:t xml:space="preserve">. </w:t>
      </w:r>
      <w:r w:rsidR="00861067">
        <w:rPr>
          <w:iCs/>
          <w:kern w:val="22"/>
          <w:lang w:val="fr-FR"/>
        </w:rPr>
        <w:t>Étant</w:t>
      </w:r>
      <w:r w:rsidR="00A137D5">
        <w:rPr>
          <w:iCs/>
          <w:kern w:val="22"/>
          <w:lang w:val="fr-FR"/>
        </w:rPr>
        <w:t xml:space="preserve"> donné que</w:t>
      </w:r>
      <w:r w:rsidR="00E14390">
        <w:rPr>
          <w:iCs/>
          <w:kern w:val="22"/>
          <w:lang w:val="fr-FR"/>
        </w:rPr>
        <w:t xml:space="preserve"> </w:t>
      </w:r>
      <w:r w:rsidR="005B4EF3" w:rsidRPr="00014329">
        <w:rPr>
          <w:iCs/>
          <w:kern w:val="22"/>
          <w:lang w:val="fr-FR"/>
        </w:rPr>
        <w:t xml:space="preserve">la validité du budget approuvé pour 2019-2020 </w:t>
      </w:r>
      <w:r w:rsidR="00E14390">
        <w:rPr>
          <w:iCs/>
          <w:kern w:val="22"/>
          <w:lang w:val="fr-FR"/>
        </w:rPr>
        <w:t xml:space="preserve">expirera </w:t>
      </w:r>
      <w:r w:rsidR="005B4EF3" w:rsidRPr="00014329">
        <w:rPr>
          <w:iCs/>
          <w:kern w:val="22"/>
          <w:lang w:val="fr-FR"/>
        </w:rPr>
        <w:t xml:space="preserve">le 31 décembre 2020, le Secrétariat demande aux Parties l'autorisation de prolonger la validité du budget d'un an (jusqu'au 31 décembre 2021), ou, dans le cas où la </w:t>
      </w:r>
      <w:r w:rsidR="00E14390">
        <w:rPr>
          <w:iCs/>
          <w:kern w:val="22"/>
          <w:lang w:val="fr-FR"/>
        </w:rPr>
        <w:t>Conférence des Parties</w:t>
      </w:r>
      <w:r w:rsidR="005B4EF3" w:rsidRPr="00014329">
        <w:rPr>
          <w:iCs/>
          <w:kern w:val="22"/>
          <w:lang w:val="fr-FR"/>
        </w:rPr>
        <w:t xml:space="preserve"> ne se tiendrait pas en 2021, jusqu'à la fin du mois suivant la clôture de la </w:t>
      </w:r>
      <w:r w:rsidR="00E14390">
        <w:rPr>
          <w:iCs/>
          <w:kern w:val="22"/>
          <w:lang w:val="fr-FR"/>
        </w:rPr>
        <w:t>quinzième réunion de la Conférence des Parties</w:t>
      </w:r>
      <w:r w:rsidR="005B4EF3" w:rsidRPr="00014329">
        <w:rPr>
          <w:iCs/>
          <w:kern w:val="22"/>
          <w:lang w:val="fr-FR"/>
        </w:rPr>
        <w:t xml:space="preserve">, </w:t>
      </w:r>
      <w:r w:rsidR="005C0758">
        <w:rPr>
          <w:iCs/>
          <w:kern w:val="22"/>
          <w:lang w:val="fr-FR"/>
        </w:rPr>
        <w:t xml:space="preserve">afin de </w:t>
      </w:r>
      <w:r w:rsidR="005B4EF3" w:rsidRPr="00014329">
        <w:rPr>
          <w:iCs/>
          <w:kern w:val="22"/>
          <w:lang w:val="fr-FR"/>
        </w:rPr>
        <w:t>permettre la mise en œuvre des activités prioritaires suivantes, initialement prévues en 2020 mais reprogrammées :</w:t>
      </w:r>
    </w:p>
    <w:p w14:paraId="213C73C1" w14:textId="4641CD92" w:rsidR="002E02A9" w:rsidRPr="002E02A9" w:rsidRDefault="005B4EF3" w:rsidP="005B7371">
      <w:pPr>
        <w:pStyle w:val="ListParagraph"/>
        <w:numPr>
          <w:ilvl w:val="0"/>
          <w:numId w:val="11"/>
        </w:numPr>
        <w:spacing w:before="120" w:after="120"/>
        <w:rPr>
          <w:rFonts w:eastAsia="Malgun Gothic"/>
          <w:color w:val="000000" w:themeColor="text1"/>
          <w:kern w:val="22"/>
          <w:szCs w:val="22"/>
          <w:lang w:val="fr-FR" w:eastAsia="x-none"/>
        </w:rPr>
      </w:pPr>
      <w:r w:rsidRPr="002E02A9">
        <w:rPr>
          <w:rFonts w:eastAsia="Malgun Gothic"/>
          <w:color w:val="000000" w:themeColor="text1"/>
          <w:kern w:val="22"/>
          <w:szCs w:val="22"/>
          <w:lang w:val="fr-FR" w:eastAsia="x-none"/>
        </w:rPr>
        <w:t>Quinzième réunion de la Conférence des Parties</w:t>
      </w:r>
      <w:r w:rsidR="002E02A9" w:rsidRPr="002E02A9">
        <w:rPr>
          <w:rFonts w:eastAsia="Malgun Gothic"/>
          <w:color w:val="000000" w:themeColor="text1"/>
          <w:kern w:val="22"/>
          <w:szCs w:val="22"/>
          <w:lang w:val="fr-FR" w:eastAsia="x-none"/>
        </w:rPr>
        <w:t xml:space="preserve"> à la Convention</w:t>
      </w:r>
      <w:r w:rsidR="009F2F68">
        <w:rPr>
          <w:rFonts w:eastAsia="Malgun Gothic"/>
          <w:color w:val="000000" w:themeColor="text1"/>
          <w:kern w:val="22"/>
          <w:szCs w:val="22"/>
          <w:lang w:val="fr-FR" w:eastAsia="x-none"/>
        </w:rPr>
        <w:t> ;</w:t>
      </w:r>
    </w:p>
    <w:p w14:paraId="3F3F113F" w14:textId="51427B33" w:rsidR="002E02A9" w:rsidRDefault="005B4EF3" w:rsidP="005B7371">
      <w:pPr>
        <w:pStyle w:val="ListParagraph"/>
        <w:numPr>
          <w:ilvl w:val="0"/>
          <w:numId w:val="11"/>
        </w:numPr>
        <w:spacing w:before="120" w:after="120"/>
        <w:rPr>
          <w:rFonts w:eastAsia="Malgun Gothic"/>
          <w:color w:val="000000" w:themeColor="text1"/>
          <w:kern w:val="22"/>
          <w:szCs w:val="22"/>
          <w:lang w:val="fr-FR" w:eastAsia="x-none"/>
        </w:rPr>
      </w:pPr>
      <w:r w:rsidRPr="002E02A9">
        <w:rPr>
          <w:rFonts w:eastAsia="Malgun Gothic"/>
          <w:color w:val="000000" w:themeColor="text1"/>
          <w:kern w:val="22"/>
          <w:szCs w:val="22"/>
          <w:lang w:val="fr-FR" w:eastAsia="x-none"/>
        </w:rPr>
        <w:t xml:space="preserve">Dixième réunion de la Conférence des </w:t>
      </w:r>
      <w:r w:rsidR="003F7A1D" w:rsidRPr="002E02A9">
        <w:rPr>
          <w:rFonts w:eastAsia="Malgun Gothic"/>
          <w:color w:val="000000" w:themeColor="text1"/>
          <w:kern w:val="22"/>
          <w:szCs w:val="22"/>
          <w:lang w:val="fr-FR" w:eastAsia="x-none"/>
        </w:rPr>
        <w:t>P</w:t>
      </w:r>
      <w:r w:rsidRPr="002E02A9">
        <w:rPr>
          <w:rFonts w:eastAsia="Malgun Gothic"/>
          <w:color w:val="000000" w:themeColor="text1"/>
          <w:kern w:val="22"/>
          <w:szCs w:val="22"/>
          <w:lang w:val="fr-FR" w:eastAsia="x-none"/>
        </w:rPr>
        <w:t xml:space="preserve">arties siégeant en tant que réunion des </w:t>
      </w:r>
      <w:r w:rsidR="003F7A1D" w:rsidRPr="002E02A9">
        <w:rPr>
          <w:rFonts w:eastAsia="Malgun Gothic"/>
          <w:color w:val="000000" w:themeColor="text1"/>
          <w:kern w:val="22"/>
          <w:szCs w:val="22"/>
          <w:lang w:val="fr-FR" w:eastAsia="x-none"/>
        </w:rPr>
        <w:t>P</w:t>
      </w:r>
      <w:r w:rsidRPr="002E02A9">
        <w:rPr>
          <w:rFonts w:eastAsia="Malgun Gothic"/>
          <w:color w:val="000000" w:themeColor="text1"/>
          <w:kern w:val="22"/>
          <w:szCs w:val="22"/>
          <w:lang w:val="fr-FR" w:eastAsia="x-none"/>
        </w:rPr>
        <w:t>arties au Protocole de Cart</w:t>
      </w:r>
      <w:r w:rsidR="003F7A1D" w:rsidRPr="002E02A9">
        <w:rPr>
          <w:rFonts w:eastAsia="Malgun Gothic"/>
          <w:color w:val="000000" w:themeColor="text1"/>
          <w:kern w:val="22"/>
          <w:szCs w:val="22"/>
          <w:lang w:val="fr-FR" w:eastAsia="x-none"/>
        </w:rPr>
        <w:t>agena</w:t>
      </w:r>
      <w:r w:rsidRPr="002E02A9">
        <w:rPr>
          <w:rFonts w:eastAsia="Malgun Gothic"/>
          <w:color w:val="000000" w:themeColor="text1"/>
          <w:kern w:val="22"/>
          <w:szCs w:val="22"/>
          <w:lang w:val="fr-FR" w:eastAsia="x-none"/>
        </w:rPr>
        <w:t xml:space="preserve"> sur la prévention des risques biotechnologiques</w:t>
      </w:r>
      <w:r w:rsidR="009F2F68">
        <w:rPr>
          <w:rFonts w:eastAsia="Malgun Gothic"/>
          <w:color w:val="000000" w:themeColor="text1"/>
          <w:kern w:val="22"/>
          <w:szCs w:val="22"/>
          <w:lang w:val="fr-FR" w:eastAsia="x-none"/>
        </w:rPr>
        <w:t> ;</w:t>
      </w:r>
    </w:p>
    <w:p w14:paraId="112227B3" w14:textId="180028E8" w:rsidR="002E02A9" w:rsidRDefault="005B4EF3" w:rsidP="005B7371">
      <w:pPr>
        <w:pStyle w:val="ListParagraph"/>
        <w:numPr>
          <w:ilvl w:val="0"/>
          <w:numId w:val="11"/>
        </w:numPr>
        <w:spacing w:before="120" w:after="120"/>
        <w:rPr>
          <w:rFonts w:eastAsia="Malgun Gothic"/>
          <w:color w:val="000000" w:themeColor="text1"/>
          <w:kern w:val="22"/>
          <w:szCs w:val="22"/>
          <w:lang w:val="fr-FR" w:eastAsia="x-none"/>
        </w:rPr>
      </w:pPr>
      <w:r w:rsidRPr="002E02A9">
        <w:rPr>
          <w:rFonts w:eastAsia="Malgun Gothic"/>
          <w:color w:val="000000" w:themeColor="text1"/>
          <w:kern w:val="22"/>
          <w:szCs w:val="22"/>
          <w:lang w:val="fr-FR" w:eastAsia="x-none"/>
        </w:rPr>
        <w:t>Quatrième réunion de la Conférence des Parties siégeant en tant que réunion des Parties au Protocole de Nagoya sur l'accès et le partage des avantages</w:t>
      </w:r>
      <w:r w:rsidR="009F2F68">
        <w:rPr>
          <w:rFonts w:eastAsia="Malgun Gothic"/>
          <w:color w:val="000000" w:themeColor="text1"/>
          <w:kern w:val="22"/>
          <w:szCs w:val="22"/>
          <w:lang w:val="fr-FR" w:eastAsia="x-none"/>
        </w:rPr>
        <w:t> ;</w:t>
      </w:r>
    </w:p>
    <w:p w14:paraId="1B98C04E" w14:textId="412E1780" w:rsidR="002E02A9" w:rsidRDefault="005B4EF3" w:rsidP="005B7371">
      <w:pPr>
        <w:pStyle w:val="ListParagraph"/>
        <w:numPr>
          <w:ilvl w:val="0"/>
          <w:numId w:val="11"/>
        </w:numPr>
        <w:spacing w:before="120" w:after="120"/>
        <w:rPr>
          <w:rFonts w:eastAsia="Malgun Gothic"/>
          <w:color w:val="000000" w:themeColor="text1"/>
          <w:kern w:val="22"/>
          <w:szCs w:val="22"/>
          <w:lang w:val="fr-FR" w:eastAsia="x-none"/>
        </w:rPr>
      </w:pPr>
      <w:r w:rsidRPr="002E02A9">
        <w:rPr>
          <w:rFonts w:eastAsia="Malgun Gothic"/>
          <w:color w:val="000000" w:themeColor="text1"/>
          <w:kern w:val="22"/>
          <w:szCs w:val="22"/>
          <w:lang w:val="fr-FR" w:eastAsia="x-none"/>
        </w:rPr>
        <w:t>La troisième réunion du</w:t>
      </w:r>
      <w:r w:rsidR="002E02A9" w:rsidRPr="002E02A9">
        <w:rPr>
          <w:rFonts w:eastAsia="Malgun Gothic"/>
          <w:color w:val="000000" w:themeColor="text1"/>
          <w:kern w:val="22"/>
          <w:szCs w:val="22"/>
          <w:lang w:val="fr-FR" w:eastAsia="x-none"/>
        </w:rPr>
        <w:t xml:space="preserve"> </w:t>
      </w:r>
      <w:r w:rsidR="002E02A9">
        <w:rPr>
          <w:rFonts w:eastAsia="Malgun Gothic"/>
          <w:color w:val="000000" w:themeColor="text1"/>
          <w:kern w:val="22"/>
          <w:szCs w:val="22"/>
          <w:lang w:val="fr-FR" w:eastAsia="x-none"/>
        </w:rPr>
        <w:t>G</w:t>
      </w:r>
      <w:r w:rsidR="002E02A9" w:rsidRPr="002E02A9">
        <w:rPr>
          <w:rFonts w:eastAsia="Malgun Gothic"/>
          <w:color w:val="000000" w:themeColor="text1"/>
          <w:kern w:val="22"/>
          <w:szCs w:val="22"/>
          <w:lang w:val="fr-FR" w:eastAsia="x-none"/>
        </w:rPr>
        <w:t>roupe de travail à composition non limitée sur le cadre mondial de la biodiversité pour l'après-2020 ;</w:t>
      </w:r>
    </w:p>
    <w:p w14:paraId="07B424EE" w14:textId="57E7028C" w:rsidR="002E02A9" w:rsidRPr="002E02A9" w:rsidRDefault="005B4EF3" w:rsidP="005B7371">
      <w:pPr>
        <w:pStyle w:val="ListParagraph"/>
        <w:numPr>
          <w:ilvl w:val="0"/>
          <w:numId w:val="11"/>
        </w:numPr>
        <w:spacing w:before="120" w:after="120"/>
        <w:rPr>
          <w:rFonts w:eastAsia="Malgun Gothic"/>
          <w:color w:val="000000" w:themeColor="text1"/>
          <w:kern w:val="22"/>
          <w:szCs w:val="22"/>
          <w:lang w:val="fr-FR" w:eastAsia="x-none"/>
        </w:rPr>
      </w:pPr>
      <w:r w:rsidRPr="002E02A9">
        <w:rPr>
          <w:spacing w:val="6"/>
          <w:kern w:val="22"/>
          <w:szCs w:val="22"/>
          <w:lang w:val="fr-FR"/>
        </w:rPr>
        <w:t>Vingt-quatrième réunion de l'</w:t>
      </w:r>
      <w:r w:rsidR="00F76ACA" w:rsidRPr="002E02A9">
        <w:rPr>
          <w:spacing w:val="6"/>
          <w:kern w:val="22"/>
          <w:szCs w:val="22"/>
          <w:lang w:val="fr-FR"/>
        </w:rPr>
        <w:t>O</w:t>
      </w:r>
      <w:r w:rsidRPr="002E02A9">
        <w:rPr>
          <w:spacing w:val="6"/>
          <w:kern w:val="22"/>
          <w:szCs w:val="22"/>
          <w:lang w:val="fr-FR"/>
        </w:rPr>
        <w:t>rgane subsidiaire chargé de fournir des avis scientifiques, techniques et technologiques (réunion physique)</w:t>
      </w:r>
      <w:r w:rsidR="009F2F68">
        <w:rPr>
          <w:spacing w:val="6"/>
          <w:kern w:val="22"/>
          <w:szCs w:val="22"/>
          <w:lang w:val="fr-FR"/>
        </w:rPr>
        <w:t> ;</w:t>
      </w:r>
    </w:p>
    <w:p w14:paraId="6D8AC9CA" w14:textId="4DD73F82" w:rsidR="002E02A9" w:rsidRPr="002E02A9" w:rsidRDefault="005B4EF3" w:rsidP="005B7371">
      <w:pPr>
        <w:pStyle w:val="ListParagraph"/>
        <w:numPr>
          <w:ilvl w:val="0"/>
          <w:numId w:val="11"/>
        </w:numPr>
        <w:spacing w:before="120" w:after="120"/>
        <w:rPr>
          <w:rFonts w:eastAsia="Malgun Gothic"/>
          <w:color w:val="000000" w:themeColor="text1"/>
          <w:kern w:val="22"/>
          <w:szCs w:val="22"/>
          <w:lang w:val="fr-FR" w:eastAsia="x-none"/>
        </w:rPr>
      </w:pPr>
      <w:r w:rsidRPr="002E02A9">
        <w:rPr>
          <w:spacing w:val="6"/>
          <w:kern w:val="22"/>
          <w:szCs w:val="22"/>
          <w:lang w:val="fr-FR"/>
        </w:rPr>
        <w:t>Troisième réunion de l'</w:t>
      </w:r>
      <w:r w:rsidR="008C424C" w:rsidRPr="002E02A9">
        <w:rPr>
          <w:spacing w:val="6"/>
          <w:kern w:val="22"/>
          <w:szCs w:val="22"/>
          <w:lang w:val="fr-FR"/>
        </w:rPr>
        <w:t>O</w:t>
      </w:r>
      <w:r w:rsidRPr="002E02A9">
        <w:rPr>
          <w:spacing w:val="6"/>
          <w:kern w:val="22"/>
          <w:szCs w:val="22"/>
          <w:lang w:val="fr-FR"/>
        </w:rPr>
        <w:t xml:space="preserve">rgane subsidiaire </w:t>
      </w:r>
      <w:r w:rsidR="008C424C" w:rsidRPr="002E02A9">
        <w:rPr>
          <w:spacing w:val="6"/>
          <w:kern w:val="22"/>
          <w:szCs w:val="22"/>
          <w:lang w:val="fr-FR"/>
        </w:rPr>
        <w:t>chargé de l’application</w:t>
      </w:r>
      <w:r w:rsidRPr="002E02A9">
        <w:rPr>
          <w:spacing w:val="6"/>
          <w:kern w:val="22"/>
          <w:szCs w:val="22"/>
          <w:lang w:val="fr-FR"/>
        </w:rPr>
        <w:t xml:space="preserve"> (réunion physique)</w:t>
      </w:r>
      <w:r w:rsidR="009F2F68">
        <w:rPr>
          <w:spacing w:val="6"/>
          <w:kern w:val="22"/>
          <w:szCs w:val="22"/>
          <w:lang w:val="fr-FR"/>
        </w:rPr>
        <w:t> ;</w:t>
      </w:r>
    </w:p>
    <w:p w14:paraId="2AF51527" w14:textId="48D90DE7" w:rsidR="002E02A9" w:rsidRPr="002E02A9" w:rsidRDefault="005B4EF3" w:rsidP="005B7371">
      <w:pPr>
        <w:pStyle w:val="ListParagraph"/>
        <w:numPr>
          <w:ilvl w:val="0"/>
          <w:numId w:val="11"/>
        </w:numPr>
        <w:spacing w:before="120" w:after="120"/>
        <w:rPr>
          <w:rFonts w:eastAsia="Malgun Gothic"/>
          <w:color w:val="000000" w:themeColor="text1"/>
          <w:kern w:val="22"/>
          <w:szCs w:val="22"/>
          <w:lang w:val="fr-FR" w:eastAsia="x-none"/>
        </w:rPr>
      </w:pPr>
      <w:r w:rsidRPr="002E02A9">
        <w:rPr>
          <w:spacing w:val="6"/>
          <w:kern w:val="22"/>
          <w:szCs w:val="22"/>
          <w:lang w:val="fr-FR"/>
        </w:rPr>
        <w:t xml:space="preserve">Réunions d'experts - et toute autre réunion en ligne liée à </w:t>
      </w:r>
      <w:r w:rsidR="00AC02D9">
        <w:rPr>
          <w:iCs/>
          <w:kern w:val="22"/>
          <w:lang w:val="fr-FR"/>
        </w:rPr>
        <w:t xml:space="preserve">la vingt-quatrième réunion de l’Organe subsidiaire chargé de fournir des avis scientifiques, techniques et technologiques et </w:t>
      </w:r>
      <w:r w:rsidR="000E7C47">
        <w:rPr>
          <w:iCs/>
          <w:kern w:val="22"/>
          <w:lang w:val="fr-FR"/>
        </w:rPr>
        <w:t xml:space="preserve">à </w:t>
      </w:r>
      <w:r w:rsidR="00AC02D9">
        <w:rPr>
          <w:iCs/>
          <w:kern w:val="22"/>
          <w:lang w:val="fr-FR"/>
        </w:rPr>
        <w:t xml:space="preserve">la troisième réunion de l’Organe subsidiaire chargé de l’application </w:t>
      </w:r>
      <w:r w:rsidRPr="002E02A9">
        <w:rPr>
          <w:spacing w:val="6"/>
          <w:kern w:val="22"/>
          <w:szCs w:val="22"/>
          <w:lang w:val="fr-FR"/>
        </w:rPr>
        <w:t xml:space="preserve">et à l'élaboration du cadre mondial </w:t>
      </w:r>
      <w:r w:rsidR="008C424C" w:rsidRPr="002E02A9">
        <w:rPr>
          <w:spacing w:val="6"/>
          <w:kern w:val="22"/>
          <w:szCs w:val="22"/>
          <w:lang w:val="fr-FR"/>
        </w:rPr>
        <w:t>de</w:t>
      </w:r>
      <w:r w:rsidRPr="002E02A9">
        <w:rPr>
          <w:spacing w:val="6"/>
          <w:kern w:val="22"/>
          <w:szCs w:val="22"/>
          <w:lang w:val="fr-FR"/>
        </w:rPr>
        <w:t xml:space="preserve"> la biodiversité </w:t>
      </w:r>
      <w:r w:rsidR="008C424C" w:rsidRPr="002E02A9">
        <w:rPr>
          <w:spacing w:val="6"/>
          <w:kern w:val="22"/>
          <w:szCs w:val="22"/>
          <w:lang w:val="fr-FR"/>
        </w:rPr>
        <w:t xml:space="preserve">pour </w:t>
      </w:r>
      <w:r w:rsidRPr="002E02A9">
        <w:rPr>
          <w:spacing w:val="6"/>
          <w:kern w:val="22"/>
          <w:szCs w:val="22"/>
          <w:lang w:val="fr-FR"/>
        </w:rPr>
        <w:t>l'après</w:t>
      </w:r>
      <w:r w:rsidR="0054151A" w:rsidRPr="002E02A9">
        <w:rPr>
          <w:spacing w:val="6"/>
          <w:kern w:val="22"/>
          <w:szCs w:val="22"/>
          <w:lang w:val="fr-FR"/>
        </w:rPr>
        <w:t>-</w:t>
      </w:r>
      <w:r w:rsidRPr="002E02A9">
        <w:rPr>
          <w:spacing w:val="6"/>
          <w:kern w:val="22"/>
          <w:szCs w:val="22"/>
          <w:lang w:val="fr-FR"/>
        </w:rPr>
        <w:t>2020</w:t>
      </w:r>
      <w:r w:rsidR="009F2F68">
        <w:rPr>
          <w:spacing w:val="6"/>
          <w:kern w:val="22"/>
          <w:szCs w:val="22"/>
          <w:lang w:val="fr-FR"/>
        </w:rPr>
        <w:t> ;</w:t>
      </w:r>
    </w:p>
    <w:p w14:paraId="0676DF87" w14:textId="0728A582" w:rsidR="00932CFE" w:rsidRPr="00AC25E0" w:rsidRDefault="005B4EF3" w:rsidP="005B7371">
      <w:pPr>
        <w:pStyle w:val="ListParagraph"/>
        <w:numPr>
          <w:ilvl w:val="0"/>
          <w:numId w:val="11"/>
        </w:numPr>
        <w:spacing w:before="120" w:after="120"/>
        <w:rPr>
          <w:rFonts w:eastAsia="Malgun Gothic"/>
          <w:color w:val="000000" w:themeColor="text1"/>
          <w:kern w:val="22"/>
          <w:szCs w:val="22"/>
          <w:lang w:val="fr-FR" w:eastAsia="x-none"/>
        </w:rPr>
      </w:pPr>
      <w:r w:rsidRPr="002E02A9">
        <w:rPr>
          <w:spacing w:val="6"/>
          <w:kern w:val="22"/>
          <w:szCs w:val="22"/>
          <w:lang w:val="fr-FR"/>
        </w:rPr>
        <w:t xml:space="preserve">Réunions du </w:t>
      </w:r>
      <w:r w:rsidR="00AC25E0">
        <w:rPr>
          <w:spacing w:val="6"/>
          <w:kern w:val="22"/>
          <w:szCs w:val="22"/>
          <w:lang w:val="fr-FR"/>
        </w:rPr>
        <w:t>B</w:t>
      </w:r>
      <w:r w:rsidRPr="002E02A9">
        <w:rPr>
          <w:spacing w:val="6"/>
          <w:kern w:val="22"/>
          <w:szCs w:val="22"/>
          <w:lang w:val="fr-FR"/>
        </w:rPr>
        <w:t>ureau</w:t>
      </w:r>
      <w:r w:rsidR="00AC25E0">
        <w:rPr>
          <w:spacing w:val="6"/>
          <w:kern w:val="22"/>
          <w:szCs w:val="22"/>
          <w:lang w:val="fr-FR"/>
        </w:rPr>
        <w:t>.</w:t>
      </w:r>
    </w:p>
    <w:p w14:paraId="76489A76" w14:textId="77777777" w:rsidR="005A4571" w:rsidRPr="00014329" w:rsidRDefault="005A4571" w:rsidP="005A4571">
      <w:pPr>
        <w:pStyle w:val="Default"/>
        <w:spacing w:before="120" w:after="120"/>
        <w:ind w:left="1080"/>
        <w:jc w:val="both"/>
        <w:rPr>
          <w:rFonts w:eastAsiaTheme="minorEastAsia"/>
          <w:color w:val="auto"/>
          <w:kern w:val="22"/>
          <w:sz w:val="22"/>
          <w:szCs w:val="22"/>
          <w:lang w:val="fr-FR"/>
        </w:rPr>
      </w:pPr>
    </w:p>
    <w:p w14:paraId="5A84E42B" w14:textId="2CB26739" w:rsidR="00541278" w:rsidRPr="003177BF" w:rsidRDefault="00084E4F" w:rsidP="003177BF">
      <w:pPr>
        <w:pStyle w:val="ListParagraph"/>
        <w:spacing w:before="120" w:after="120"/>
        <w:ind w:left="0"/>
        <w:contextualSpacing w:val="0"/>
        <w:rPr>
          <w:iCs/>
          <w:kern w:val="22"/>
          <w:lang w:val="fr-FR"/>
        </w:rPr>
      </w:pPr>
      <w:r>
        <w:rPr>
          <w:iCs/>
          <w:kern w:val="22"/>
          <w:lang w:val="fr-FR"/>
        </w:rPr>
        <w:t>14.</w:t>
      </w:r>
      <w:r>
        <w:rPr>
          <w:iCs/>
          <w:kern w:val="22"/>
          <w:lang w:val="fr-FR"/>
        </w:rPr>
        <w:tab/>
      </w:r>
      <w:r w:rsidR="005B4EF3" w:rsidRPr="00014329">
        <w:rPr>
          <w:iCs/>
          <w:kern w:val="22"/>
          <w:lang w:val="fr-FR"/>
        </w:rPr>
        <w:t xml:space="preserve">Un coût total de 1 110 000 dollars </w:t>
      </w:r>
      <w:r w:rsidR="0071175F">
        <w:rPr>
          <w:iCs/>
          <w:kern w:val="22"/>
          <w:lang w:val="fr-FR"/>
        </w:rPr>
        <w:t>É.-U</w:t>
      </w:r>
      <w:r w:rsidR="0071175F" w:rsidRPr="008F0C73">
        <w:rPr>
          <w:iCs/>
          <w:kern w:val="22"/>
          <w:lang w:val="fr-FR"/>
        </w:rPr>
        <w:t xml:space="preserve"> </w:t>
      </w:r>
      <w:r w:rsidR="005B4EF3" w:rsidRPr="00014329">
        <w:rPr>
          <w:iCs/>
          <w:kern w:val="22"/>
          <w:lang w:val="fr-FR"/>
        </w:rPr>
        <w:t>a été engagé pour convoquer les première</w:t>
      </w:r>
      <w:r w:rsidR="008C424C">
        <w:rPr>
          <w:iCs/>
          <w:kern w:val="22"/>
          <w:lang w:val="fr-FR"/>
        </w:rPr>
        <w:t>s</w:t>
      </w:r>
      <w:r w:rsidR="005B4EF3" w:rsidRPr="00014329">
        <w:rPr>
          <w:iCs/>
          <w:kern w:val="22"/>
          <w:lang w:val="fr-FR"/>
        </w:rPr>
        <w:t xml:space="preserve"> et </w:t>
      </w:r>
      <w:r w:rsidR="008C424C" w:rsidRPr="00014329">
        <w:rPr>
          <w:iCs/>
          <w:kern w:val="22"/>
          <w:lang w:val="fr-FR"/>
        </w:rPr>
        <w:t>deuxièmes réunions</w:t>
      </w:r>
      <w:r w:rsidR="005B4EF3" w:rsidRPr="00014329">
        <w:rPr>
          <w:iCs/>
          <w:kern w:val="22"/>
          <w:lang w:val="fr-FR"/>
        </w:rPr>
        <w:t xml:space="preserve"> du </w:t>
      </w:r>
      <w:r w:rsidR="008C424C">
        <w:rPr>
          <w:iCs/>
          <w:kern w:val="22"/>
          <w:lang w:val="fr-FR"/>
        </w:rPr>
        <w:t>G</w:t>
      </w:r>
      <w:r w:rsidR="005B4EF3" w:rsidRPr="00014329">
        <w:rPr>
          <w:iCs/>
          <w:kern w:val="22"/>
          <w:lang w:val="fr-FR"/>
        </w:rPr>
        <w:t xml:space="preserve">roupe de travail sur le cadre mondial </w:t>
      </w:r>
      <w:r w:rsidR="008C424C">
        <w:rPr>
          <w:iCs/>
          <w:kern w:val="22"/>
          <w:lang w:val="fr-FR"/>
        </w:rPr>
        <w:t>de</w:t>
      </w:r>
      <w:r w:rsidR="005B4EF3" w:rsidRPr="00014329">
        <w:rPr>
          <w:iCs/>
          <w:kern w:val="22"/>
          <w:lang w:val="fr-FR"/>
        </w:rPr>
        <w:t xml:space="preserve"> la biodiversité </w:t>
      </w:r>
      <w:r w:rsidR="008C424C">
        <w:rPr>
          <w:iCs/>
          <w:kern w:val="22"/>
          <w:lang w:val="fr-FR"/>
        </w:rPr>
        <w:t>pour l’</w:t>
      </w:r>
      <w:r w:rsidR="005B4EF3" w:rsidRPr="00014329">
        <w:rPr>
          <w:iCs/>
          <w:kern w:val="22"/>
          <w:lang w:val="fr-FR"/>
        </w:rPr>
        <w:t>après</w:t>
      </w:r>
      <w:r w:rsidR="008C424C">
        <w:rPr>
          <w:iCs/>
          <w:kern w:val="22"/>
          <w:lang w:val="fr-FR"/>
        </w:rPr>
        <w:t>-</w:t>
      </w:r>
      <w:r w:rsidR="005B4EF3" w:rsidRPr="00014329">
        <w:rPr>
          <w:iCs/>
          <w:kern w:val="22"/>
          <w:lang w:val="fr-FR"/>
        </w:rPr>
        <w:t xml:space="preserve">2020, ce qui laisse un solde non dépensé de 210 000 dollars </w:t>
      </w:r>
      <w:r w:rsidR="0071175F">
        <w:rPr>
          <w:iCs/>
          <w:kern w:val="22"/>
          <w:lang w:val="fr-FR"/>
        </w:rPr>
        <w:t>É.-U</w:t>
      </w:r>
      <w:r w:rsidR="005B4EF3" w:rsidRPr="00014329">
        <w:rPr>
          <w:iCs/>
          <w:kern w:val="22"/>
          <w:lang w:val="fr-FR"/>
        </w:rPr>
        <w:t xml:space="preserve">. Le Secrétariat demande donc l'autorisation des Parties pour prolonger la validité budgétaire des fonds restants afin de compenser les coûts de la troisième réunion du Groupe de travail sur le cadre mondial </w:t>
      </w:r>
      <w:r w:rsidR="008C424C">
        <w:rPr>
          <w:iCs/>
          <w:kern w:val="22"/>
          <w:lang w:val="fr-FR"/>
        </w:rPr>
        <w:t>de</w:t>
      </w:r>
      <w:r w:rsidR="005B4EF3" w:rsidRPr="00014329">
        <w:rPr>
          <w:iCs/>
          <w:kern w:val="22"/>
          <w:lang w:val="fr-FR"/>
        </w:rPr>
        <w:t xml:space="preserve"> la biodiversité</w:t>
      </w:r>
      <w:r w:rsidR="008C424C">
        <w:rPr>
          <w:iCs/>
          <w:kern w:val="22"/>
          <w:lang w:val="fr-FR"/>
        </w:rPr>
        <w:t xml:space="preserve"> pour l’</w:t>
      </w:r>
      <w:r w:rsidR="005B4EF3" w:rsidRPr="00014329">
        <w:rPr>
          <w:iCs/>
          <w:kern w:val="22"/>
          <w:lang w:val="fr-FR"/>
        </w:rPr>
        <w:t>après</w:t>
      </w:r>
      <w:r w:rsidR="008C424C">
        <w:rPr>
          <w:iCs/>
          <w:kern w:val="22"/>
          <w:lang w:val="fr-FR"/>
        </w:rPr>
        <w:t>-</w:t>
      </w:r>
      <w:r w:rsidR="005B4EF3" w:rsidRPr="00014329">
        <w:rPr>
          <w:iCs/>
          <w:kern w:val="22"/>
          <w:lang w:val="fr-FR"/>
        </w:rPr>
        <w:t>2020, qui n'étaient pas prévus dans le budget approuvé.</w:t>
      </w:r>
    </w:p>
    <w:p w14:paraId="4924722D" w14:textId="167EF1F6" w:rsidR="00F56269" w:rsidRPr="00DE226A" w:rsidRDefault="003148EF" w:rsidP="006E23F0">
      <w:pPr>
        <w:pStyle w:val="ListParagraph"/>
        <w:numPr>
          <w:ilvl w:val="0"/>
          <w:numId w:val="9"/>
        </w:numPr>
        <w:spacing w:before="120" w:after="120"/>
        <w:ind w:left="1143" w:hanging="603"/>
        <w:rPr>
          <w:rFonts w:eastAsia="Malgun Gothic"/>
          <w:b/>
          <w:bCs/>
          <w:iCs/>
          <w:color w:val="000000" w:themeColor="text1"/>
          <w:kern w:val="22"/>
          <w:szCs w:val="22"/>
          <w:lang w:val="fr-FR" w:eastAsia="x-none"/>
        </w:rPr>
      </w:pPr>
      <w:r>
        <w:rPr>
          <w:b/>
          <w:bCs/>
          <w:kern w:val="22"/>
          <w:szCs w:val="22"/>
          <w:lang w:val="fr-FR"/>
        </w:rPr>
        <w:t>PROPOSITION DU BUDGET INTÉGRÉ INTÉRIMAIRE POUR LE PROGRAMME DE TRAVAIL DE LA CONVENTION SUR LA DIVERSITÉ BIOLOGIQUE, LE PROTOCOLE DE CATARGENA SUR LA PRÉVENTION DES RISQUES BIOTECHNOLOGIQUES ET LE PROTOCOLE DE NAGOYA SUR L’ACCÈS ET LE PARTAGE DES AV</w:t>
      </w:r>
      <w:r w:rsidR="00A137D5">
        <w:rPr>
          <w:b/>
          <w:bCs/>
          <w:kern w:val="22"/>
          <w:szCs w:val="22"/>
          <w:lang w:val="fr-FR"/>
        </w:rPr>
        <w:t>A</w:t>
      </w:r>
      <w:r>
        <w:rPr>
          <w:b/>
          <w:bCs/>
          <w:kern w:val="22"/>
          <w:szCs w:val="22"/>
          <w:lang w:val="fr-FR"/>
        </w:rPr>
        <w:t>NTAGES POUR 2021</w:t>
      </w:r>
    </w:p>
    <w:p w14:paraId="36BD1EE8" w14:textId="77777777" w:rsidR="00DE226A" w:rsidRPr="00F02283" w:rsidRDefault="00DE226A" w:rsidP="00DE226A">
      <w:pPr>
        <w:pStyle w:val="ListParagraph"/>
        <w:spacing w:before="120" w:after="120"/>
        <w:ind w:left="2160"/>
        <w:rPr>
          <w:rFonts w:eastAsia="Malgun Gothic"/>
          <w:b/>
          <w:bCs/>
          <w:iCs/>
          <w:color w:val="000000" w:themeColor="text1"/>
          <w:kern w:val="22"/>
          <w:szCs w:val="22"/>
          <w:lang w:val="fr-FR" w:eastAsia="x-none"/>
        </w:rPr>
      </w:pPr>
    </w:p>
    <w:p w14:paraId="1891452E" w14:textId="6AACB6A1" w:rsidR="002A2687" w:rsidRPr="00F02283" w:rsidRDefault="00084E4F" w:rsidP="00084E4F">
      <w:pPr>
        <w:pStyle w:val="ListParagraph"/>
        <w:spacing w:before="120" w:after="120"/>
        <w:ind w:left="0"/>
        <w:contextualSpacing w:val="0"/>
        <w:rPr>
          <w:iCs/>
          <w:kern w:val="22"/>
          <w:lang w:val="fr-FR"/>
        </w:rPr>
      </w:pPr>
      <w:r>
        <w:rPr>
          <w:iCs/>
          <w:kern w:val="22"/>
          <w:lang w:val="fr-FR"/>
        </w:rPr>
        <w:t>15.</w:t>
      </w:r>
      <w:r>
        <w:rPr>
          <w:iCs/>
          <w:kern w:val="22"/>
          <w:lang w:val="fr-FR"/>
        </w:rPr>
        <w:tab/>
      </w:r>
      <w:r w:rsidR="005B4EF3" w:rsidRPr="00014329">
        <w:rPr>
          <w:iCs/>
          <w:kern w:val="22"/>
          <w:lang w:val="fr-FR"/>
        </w:rPr>
        <w:t xml:space="preserve">Le Secrétariat soumet à l'approbation des Parties un budget intérimaire intégré pour assurer la </w:t>
      </w:r>
      <w:r w:rsidR="008C424C">
        <w:rPr>
          <w:iCs/>
          <w:kern w:val="22"/>
          <w:lang w:val="fr-FR"/>
        </w:rPr>
        <w:t>continuité</w:t>
      </w:r>
      <w:r w:rsidR="005B4EF3" w:rsidRPr="00014329">
        <w:rPr>
          <w:iCs/>
          <w:kern w:val="22"/>
          <w:lang w:val="fr-FR"/>
        </w:rPr>
        <w:t xml:space="preserve"> de ses activités pendant l'année 2021 en attendant l'adoption d'un budget pour l'exercice biennal 2021-2022 par la Conférence des Parties à sa quinzième réunion, ou pour la période 2021-2023, selon ce que la Conférence des Parties pourrait décider à ce moment-là. Les ressources nécessaires pour 2021, au-delà de celles couvertes par la prolongation de la validité telle que décrite dans la section II, sont détaillées dans les tableaux 5a et 5b. Les besoins en ressources sont estimés à l'aide des </w:t>
      </w:r>
      <w:r w:rsidR="008456B4">
        <w:rPr>
          <w:iCs/>
          <w:kern w:val="22"/>
          <w:lang w:val="fr-FR"/>
        </w:rPr>
        <w:t>hypothèses</w:t>
      </w:r>
      <w:r w:rsidR="005B4EF3" w:rsidRPr="00014329">
        <w:rPr>
          <w:iCs/>
          <w:kern w:val="22"/>
          <w:lang w:val="fr-FR"/>
        </w:rPr>
        <w:t xml:space="preserve"> et </w:t>
      </w:r>
      <w:r w:rsidR="008456B4">
        <w:rPr>
          <w:iCs/>
          <w:kern w:val="22"/>
          <w:lang w:val="fr-FR"/>
        </w:rPr>
        <w:t>facteurs</w:t>
      </w:r>
      <w:r w:rsidR="005B4EF3" w:rsidRPr="00014329">
        <w:rPr>
          <w:iCs/>
          <w:kern w:val="22"/>
          <w:lang w:val="fr-FR"/>
        </w:rPr>
        <w:t xml:space="preserve"> </w:t>
      </w:r>
      <w:r w:rsidR="00A5433D">
        <w:rPr>
          <w:iCs/>
          <w:kern w:val="22"/>
          <w:lang w:val="fr-FR"/>
        </w:rPr>
        <w:t>décrits ci-dessous :</w:t>
      </w:r>
    </w:p>
    <w:p w14:paraId="5F7DEDB0" w14:textId="4B4A0955" w:rsidR="002A2687" w:rsidRPr="00F02283" w:rsidRDefault="00E55293" w:rsidP="00DC6D15">
      <w:pPr>
        <w:pStyle w:val="Style1"/>
        <w:ind w:left="720"/>
        <w:jc w:val="both"/>
        <w:rPr>
          <w:i w:val="0"/>
          <w:iCs w:val="0"/>
          <w:kern w:val="22"/>
          <w:lang w:val="fr-FR"/>
        </w:rPr>
      </w:pPr>
      <w:r w:rsidRPr="00F02283">
        <w:rPr>
          <w:i w:val="0"/>
          <w:iCs w:val="0"/>
          <w:kern w:val="22"/>
          <w:lang w:val="fr-FR"/>
        </w:rPr>
        <w:t>Principaux facteurs et hypothèses utilisés pour l'estimation des besoins en ressources pour 2021</w:t>
      </w:r>
    </w:p>
    <w:p w14:paraId="0959259C" w14:textId="393962C5" w:rsidR="005B4EF3" w:rsidRPr="00014329" w:rsidRDefault="00084E4F" w:rsidP="00084E4F">
      <w:pPr>
        <w:pStyle w:val="ListParagraph"/>
        <w:spacing w:before="120" w:after="120"/>
        <w:ind w:left="0"/>
        <w:contextualSpacing w:val="0"/>
        <w:rPr>
          <w:iCs/>
          <w:kern w:val="22"/>
          <w:lang w:val="fr-FR"/>
        </w:rPr>
      </w:pPr>
      <w:r>
        <w:rPr>
          <w:kern w:val="22"/>
          <w:lang w:val="fr-FR"/>
        </w:rPr>
        <w:t>16.</w:t>
      </w:r>
      <w:r>
        <w:rPr>
          <w:kern w:val="22"/>
          <w:lang w:val="fr-FR"/>
        </w:rPr>
        <w:tab/>
      </w:r>
      <w:r w:rsidR="005B4EF3" w:rsidRPr="00014329">
        <w:rPr>
          <w:kern w:val="22"/>
          <w:lang w:val="fr-FR"/>
        </w:rPr>
        <w:t xml:space="preserve">Les ressources nécessaires pour le budget intérimaire pour 2021 sont basées sur l'hypothèse que la Conférence des Parties </w:t>
      </w:r>
      <w:r w:rsidR="00E74D4D">
        <w:rPr>
          <w:kern w:val="22"/>
          <w:lang w:val="fr-FR"/>
        </w:rPr>
        <w:t xml:space="preserve">lors de sa quinzième réunion en 2021 </w:t>
      </w:r>
      <w:r w:rsidR="005B4EF3" w:rsidRPr="00014329">
        <w:rPr>
          <w:kern w:val="22"/>
          <w:lang w:val="fr-FR"/>
        </w:rPr>
        <w:t xml:space="preserve">ainsi que </w:t>
      </w:r>
      <w:r w:rsidR="00E74D4D">
        <w:rPr>
          <w:kern w:val="22"/>
          <w:lang w:val="fr-FR"/>
        </w:rPr>
        <w:t>d</w:t>
      </w:r>
      <w:r w:rsidR="005B4EF3" w:rsidRPr="00014329">
        <w:rPr>
          <w:kern w:val="22"/>
          <w:lang w:val="fr-FR"/>
        </w:rPr>
        <w:t>es réunions</w:t>
      </w:r>
      <w:r w:rsidR="00E74D4D">
        <w:rPr>
          <w:kern w:val="22"/>
          <w:lang w:val="fr-FR"/>
        </w:rPr>
        <w:t xml:space="preserve"> associées</w:t>
      </w:r>
      <w:r w:rsidR="005B4EF3" w:rsidRPr="00014329">
        <w:rPr>
          <w:kern w:val="22"/>
          <w:lang w:val="fr-FR"/>
        </w:rPr>
        <w:t xml:space="preserve"> des Parties aux </w:t>
      </w:r>
      <w:r w:rsidR="00E74D4D">
        <w:rPr>
          <w:kern w:val="22"/>
          <w:lang w:val="fr-FR"/>
        </w:rPr>
        <w:t>P</w:t>
      </w:r>
      <w:r w:rsidR="005B4EF3" w:rsidRPr="00014329">
        <w:rPr>
          <w:kern w:val="22"/>
          <w:lang w:val="fr-FR"/>
        </w:rPr>
        <w:t xml:space="preserve">rotocoles approuveront un programme de travail et </w:t>
      </w:r>
      <w:r w:rsidR="00046E6A" w:rsidRPr="00014329">
        <w:rPr>
          <w:kern w:val="22"/>
          <w:lang w:val="fr-FR"/>
        </w:rPr>
        <w:t>un budget intégré et axé</w:t>
      </w:r>
      <w:r w:rsidR="005B4EF3" w:rsidRPr="00014329">
        <w:rPr>
          <w:kern w:val="22"/>
          <w:lang w:val="fr-FR"/>
        </w:rPr>
        <w:t xml:space="preserve"> sur les résultats pour l'exercice biennal 2021-2022 (ou pour une période à déterminer)</w:t>
      </w:r>
      <w:r w:rsidR="00E74D4D">
        <w:rPr>
          <w:kern w:val="22"/>
          <w:lang w:val="fr-FR"/>
        </w:rPr>
        <w:t>.</w:t>
      </w:r>
    </w:p>
    <w:p w14:paraId="027441AF" w14:textId="1F1532FA" w:rsidR="005B4EF3" w:rsidRPr="00014329" w:rsidRDefault="00084E4F" w:rsidP="00084E4F">
      <w:pPr>
        <w:pStyle w:val="ListParagraph"/>
        <w:spacing w:before="120" w:after="120"/>
        <w:ind w:left="0"/>
        <w:contextualSpacing w:val="0"/>
        <w:rPr>
          <w:iCs/>
          <w:kern w:val="22"/>
          <w:lang w:val="fr-FR"/>
        </w:rPr>
      </w:pPr>
      <w:r>
        <w:rPr>
          <w:iCs/>
          <w:kern w:val="22"/>
          <w:lang w:val="fr-FR"/>
        </w:rPr>
        <w:t>17.</w:t>
      </w:r>
      <w:r>
        <w:rPr>
          <w:iCs/>
          <w:kern w:val="22"/>
          <w:lang w:val="fr-FR"/>
        </w:rPr>
        <w:tab/>
      </w:r>
      <w:r w:rsidR="005B4EF3" w:rsidRPr="00014329">
        <w:rPr>
          <w:iCs/>
          <w:kern w:val="22"/>
          <w:lang w:val="fr-FR"/>
        </w:rPr>
        <w:t xml:space="preserve">Le budget proposé de 16 943 800 dollars </w:t>
      </w:r>
      <w:r w:rsidR="004F3737">
        <w:rPr>
          <w:iCs/>
          <w:kern w:val="22"/>
          <w:lang w:val="fr-FR"/>
        </w:rPr>
        <w:t xml:space="preserve">É.U </w:t>
      </w:r>
      <w:r w:rsidR="005B4EF3" w:rsidRPr="00014329">
        <w:rPr>
          <w:iCs/>
          <w:kern w:val="22"/>
          <w:lang w:val="fr-FR"/>
        </w:rPr>
        <w:t xml:space="preserve">est inférieur de 15 </w:t>
      </w:r>
      <w:r w:rsidR="00E74D4D">
        <w:rPr>
          <w:iCs/>
          <w:kern w:val="22"/>
          <w:lang w:val="fr-FR"/>
        </w:rPr>
        <w:t>pour</w:t>
      </w:r>
      <w:r w:rsidR="00A137D5">
        <w:rPr>
          <w:iCs/>
          <w:kern w:val="22"/>
          <w:lang w:val="fr-FR"/>
        </w:rPr>
        <w:t xml:space="preserve"> </w:t>
      </w:r>
      <w:r w:rsidR="00E74D4D">
        <w:rPr>
          <w:iCs/>
          <w:kern w:val="22"/>
          <w:lang w:val="fr-FR"/>
        </w:rPr>
        <w:t>cent</w:t>
      </w:r>
      <w:r w:rsidR="005B4EF3" w:rsidRPr="00014329">
        <w:rPr>
          <w:iCs/>
          <w:kern w:val="22"/>
          <w:lang w:val="fr-FR"/>
        </w:rPr>
        <w:t xml:space="preserve"> au budget approuvé pour 2020. </w:t>
      </w:r>
    </w:p>
    <w:p w14:paraId="624E307C" w14:textId="6F249DE7" w:rsidR="004D0BE0" w:rsidRPr="00014329" w:rsidRDefault="00084E4F" w:rsidP="00084E4F">
      <w:pPr>
        <w:pStyle w:val="ListParagraph"/>
        <w:spacing w:before="120" w:after="120"/>
        <w:ind w:left="0"/>
        <w:contextualSpacing w:val="0"/>
        <w:rPr>
          <w:iCs/>
          <w:kern w:val="22"/>
          <w:lang w:val="fr-FR"/>
        </w:rPr>
      </w:pPr>
      <w:r>
        <w:rPr>
          <w:iCs/>
          <w:kern w:val="22"/>
          <w:lang w:val="fr-FR"/>
        </w:rPr>
        <w:t>18.</w:t>
      </w:r>
      <w:r>
        <w:rPr>
          <w:iCs/>
          <w:kern w:val="22"/>
          <w:lang w:val="fr-FR"/>
        </w:rPr>
        <w:tab/>
      </w:r>
      <w:r w:rsidR="005B4EF3" w:rsidRPr="00014329">
        <w:rPr>
          <w:iCs/>
          <w:kern w:val="22"/>
          <w:lang w:val="fr-FR"/>
        </w:rPr>
        <w:t xml:space="preserve">Les coûts de la </w:t>
      </w:r>
      <w:r w:rsidR="00E74D4D">
        <w:rPr>
          <w:iCs/>
          <w:kern w:val="22"/>
          <w:lang w:val="fr-FR"/>
        </w:rPr>
        <w:t>quinzième réunion de la Conférence des Parties</w:t>
      </w:r>
      <w:r w:rsidR="005B4EF3" w:rsidRPr="00014329">
        <w:rPr>
          <w:iCs/>
          <w:kern w:val="22"/>
          <w:lang w:val="fr-FR"/>
        </w:rPr>
        <w:t xml:space="preserve"> et des réunions connexes des </w:t>
      </w:r>
      <w:r w:rsidR="000D568A">
        <w:rPr>
          <w:iCs/>
          <w:kern w:val="22"/>
          <w:lang w:val="fr-FR"/>
        </w:rPr>
        <w:t>P</w:t>
      </w:r>
      <w:r w:rsidR="005B4EF3" w:rsidRPr="00014329">
        <w:rPr>
          <w:iCs/>
          <w:kern w:val="22"/>
          <w:lang w:val="fr-FR"/>
        </w:rPr>
        <w:t>rotocoles, ainsi que la plupart des coûts de</w:t>
      </w:r>
      <w:r w:rsidR="00A802C1" w:rsidRPr="002E02A9">
        <w:rPr>
          <w:spacing w:val="6"/>
          <w:kern w:val="22"/>
          <w:szCs w:val="22"/>
          <w:lang w:val="fr-FR"/>
        </w:rPr>
        <w:t xml:space="preserve"> </w:t>
      </w:r>
      <w:r w:rsidR="00A802C1">
        <w:rPr>
          <w:iCs/>
          <w:kern w:val="22"/>
          <w:lang w:val="fr-FR"/>
        </w:rPr>
        <w:t xml:space="preserve">la vingt-quatrième réunion de l’Organe subsidiaire chargé de fournir des avis scientifiques, techniques et technologiques et de la troisième réunion de l’Organe subsidiaire chargé de l’application, </w:t>
      </w:r>
      <w:r w:rsidR="005B4EF3" w:rsidRPr="00014329">
        <w:rPr>
          <w:iCs/>
          <w:kern w:val="22"/>
          <w:lang w:val="fr-FR"/>
        </w:rPr>
        <w:t>ne sont pas inclus dans le budget provisoire car ils seront couverts par le budget approuvé pour la période 2019-2020 prolongée jusqu'en 2021.</w:t>
      </w:r>
    </w:p>
    <w:p w14:paraId="07B9A5CF" w14:textId="34443FF4" w:rsidR="0063185C" w:rsidRPr="00014329" w:rsidRDefault="00084E4F" w:rsidP="00084E4F">
      <w:pPr>
        <w:pStyle w:val="ListParagraph"/>
        <w:spacing w:before="120" w:after="120"/>
        <w:ind w:left="0"/>
        <w:contextualSpacing w:val="0"/>
        <w:rPr>
          <w:iCs/>
          <w:kern w:val="22"/>
          <w:lang w:val="fr-FR"/>
        </w:rPr>
      </w:pPr>
      <w:r>
        <w:rPr>
          <w:iCs/>
          <w:kern w:val="22"/>
          <w:lang w:val="fr-FR"/>
        </w:rPr>
        <w:t>19.</w:t>
      </w:r>
      <w:r>
        <w:rPr>
          <w:iCs/>
          <w:kern w:val="22"/>
          <w:lang w:val="fr-FR"/>
        </w:rPr>
        <w:tab/>
      </w:r>
      <w:r w:rsidR="005B4EF3" w:rsidRPr="00014329">
        <w:rPr>
          <w:iCs/>
          <w:kern w:val="22"/>
          <w:lang w:val="fr-FR"/>
        </w:rPr>
        <w:t xml:space="preserve">Le budget intérimaire proposé a une portée limitée et ne couvre que les ressources minimales nécessaires pour permettre la </w:t>
      </w:r>
      <w:r w:rsidR="00E52378">
        <w:rPr>
          <w:iCs/>
          <w:kern w:val="22"/>
          <w:lang w:val="fr-FR"/>
        </w:rPr>
        <w:t>continuité</w:t>
      </w:r>
      <w:r w:rsidR="005B4EF3" w:rsidRPr="00014329">
        <w:rPr>
          <w:iCs/>
          <w:kern w:val="22"/>
          <w:lang w:val="fr-FR"/>
        </w:rPr>
        <w:t xml:space="preserve"> des activités du Secrétariat en 2021.</w:t>
      </w:r>
    </w:p>
    <w:p w14:paraId="5A530D62" w14:textId="704DD7F3" w:rsidR="004B7BD7" w:rsidRPr="00014329" w:rsidRDefault="00084E4F" w:rsidP="00084E4F">
      <w:pPr>
        <w:pStyle w:val="ListParagraph"/>
        <w:spacing w:before="120" w:after="120"/>
        <w:ind w:left="0"/>
        <w:contextualSpacing w:val="0"/>
        <w:rPr>
          <w:iCs/>
          <w:kern w:val="22"/>
          <w:lang w:val="fr-FR"/>
        </w:rPr>
      </w:pPr>
      <w:r>
        <w:rPr>
          <w:iCs/>
          <w:kern w:val="22"/>
          <w:lang w:val="fr-FR"/>
        </w:rPr>
        <w:t>20.</w:t>
      </w:r>
      <w:r>
        <w:rPr>
          <w:iCs/>
          <w:kern w:val="22"/>
          <w:lang w:val="fr-FR"/>
        </w:rPr>
        <w:tab/>
      </w:r>
      <w:r w:rsidR="005B4EF3" w:rsidRPr="00014329">
        <w:rPr>
          <w:iCs/>
          <w:kern w:val="22"/>
          <w:lang w:val="fr-FR"/>
        </w:rPr>
        <w:t xml:space="preserve">Compte tenu du faible niveau estimé des réserves du fonds d'affectation spéciale du </w:t>
      </w:r>
      <w:r w:rsidR="0055718B">
        <w:rPr>
          <w:iCs/>
          <w:kern w:val="22"/>
          <w:lang w:val="fr-FR"/>
        </w:rPr>
        <w:t>P</w:t>
      </w:r>
      <w:r w:rsidR="005B4EF3" w:rsidRPr="00014329">
        <w:rPr>
          <w:iCs/>
          <w:kern w:val="22"/>
          <w:lang w:val="fr-FR"/>
        </w:rPr>
        <w:t xml:space="preserve">rotocole de Nagoya et de la nécessité de faire preuve de prudence étant donné la lenteur du </w:t>
      </w:r>
      <w:r w:rsidR="0055718B">
        <w:rPr>
          <w:iCs/>
          <w:kern w:val="22"/>
          <w:lang w:val="fr-FR"/>
        </w:rPr>
        <w:t xml:space="preserve">recueillement </w:t>
      </w:r>
      <w:r w:rsidR="005B4EF3" w:rsidRPr="00014329">
        <w:rPr>
          <w:iCs/>
          <w:kern w:val="22"/>
          <w:lang w:val="fr-FR"/>
        </w:rPr>
        <w:t xml:space="preserve">des contributions </w:t>
      </w:r>
      <w:r w:rsidR="00B51874">
        <w:rPr>
          <w:iCs/>
          <w:kern w:val="22"/>
          <w:lang w:val="fr-FR"/>
        </w:rPr>
        <w:t>évaluées</w:t>
      </w:r>
      <w:r w:rsidR="006E709C">
        <w:rPr>
          <w:iCs/>
          <w:kern w:val="22"/>
          <w:lang w:val="fr-FR"/>
        </w:rPr>
        <w:t xml:space="preserve"> c</w:t>
      </w:r>
      <w:r w:rsidR="005B4EF3" w:rsidRPr="00014329">
        <w:rPr>
          <w:iCs/>
          <w:kern w:val="22"/>
          <w:lang w:val="fr-FR"/>
        </w:rPr>
        <w:t xml:space="preserve">omme le souligne le paragraphe 7 </w:t>
      </w:r>
      <w:r w:rsidR="00CF00BF">
        <w:rPr>
          <w:iCs/>
          <w:kern w:val="22"/>
          <w:lang w:val="fr-FR"/>
        </w:rPr>
        <w:t>ci-dessus</w:t>
      </w:r>
      <w:r w:rsidR="005B4EF3" w:rsidRPr="00014329">
        <w:rPr>
          <w:iCs/>
          <w:kern w:val="22"/>
          <w:lang w:val="fr-FR"/>
        </w:rPr>
        <w:t xml:space="preserve">, il n'est pas proposé d'utiliser les réserves pour compenser les contributions </w:t>
      </w:r>
      <w:r w:rsidR="0055718B">
        <w:rPr>
          <w:iCs/>
          <w:kern w:val="22"/>
          <w:lang w:val="fr-FR"/>
        </w:rPr>
        <w:t>évaluées</w:t>
      </w:r>
      <w:r w:rsidR="005B4EF3" w:rsidRPr="00014329">
        <w:rPr>
          <w:iCs/>
          <w:kern w:val="22"/>
          <w:lang w:val="fr-FR"/>
        </w:rPr>
        <w:t xml:space="preserve"> pour 2021.</w:t>
      </w:r>
    </w:p>
    <w:p w14:paraId="3CC7BD80" w14:textId="4856D21D" w:rsidR="004B7BD7" w:rsidRPr="00014329" w:rsidRDefault="00084E4F" w:rsidP="00084E4F">
      <w:pPr>
        <w:pStyle w:val="ListParagraph"/>
        <w:spacing w:before="120" w:after="120"/>
        <w:ind w:left="0"/>
        <w:contextualSpacing w:val="0"/>
        <w:rPr>
          <w:iCs/>
          <w:kern w:val="22"/>
          <w:lang w:val="fr-FR"/>
        </w:rPr>
      </w:pPr>
      <w:r>
        <w:rPr>
          <w:iCs/>
          <w:kern w:val="22"/>
          <w:lang w:val="fr-FR"/>
        </w:rPr>
        <w:t>21.</w:t>
      </w:r>
      <w:r>
        <w:rPr>
          <w:iCs/>
          <w:kern w:val="22"/>
          <w:lang w:val="fr-FR"/>
        </w:rPr>
        <w:tab/>
      </w:r>
      <w:r w:rsidR="005B4EF3" w:rsidRPr="00014329">
        <w:rPr>
          <w:iCs/>
          <w:kern w:val="22"/>
          <w:lang w:val="fr-FR"/>
        </w:rPr>
        <w:t>L'approbation d'un budget intérimaire ne portera pas préjudice à un budget final qui sera approuvé par la Conférence des Parties lors de sa quinzième réunion. Le Secrétariat préparera et soumettra un programme de travail et un budget détaillé, axé sur les résultats pour la période 2021-2022</w:t>
      </w:r>
      <w:r w:rsidR="00444125">
        <w:rPr>
          <w:iCs/>
          <w:kern w:val="22"/>
          <w:lang w:val="fr-FR"/>
        </w:rPr>
        <w:t xml:space="preserve"> </w:t>
      </w:r>
      <w:r w:rsidR="005B4EF3" w:rsidRPr="00014329">
        <w:rPr>
          <w:iCs/>
          <w:kern w:val="22"/>
          <w:lang w:val="fr-FR"/>
        </w:rPr>
        <w:t xml:space="preserve">conformément à la décision 14/37, paragraphe 48. En outre, étant donné que la </w:t>
      </w:r>
      <w:r w:rsidR="00CF00BF">
        <w:rPr>
          <w:iCs/>
          <w:kern w:val="22"/>
          <w:lang w:val="fr-FR"/>
        </w:rPr>
        <w:t>Conférence des Parties lors de sa quinzième réunion</w:t>
      </w:r>
      <w:r w:rsidR="005B4EF3" w:rsidRPr="00014329">
        <w:rPr>
          <w:iCs/>
          <w:kern w:val="22"/>
          <w:lang w:val="fr-FR"/>
        </w:rPr>
        <w:t xml:space="preserve"> pourrait </w:t>
      </w:r>
      <w:r w:rsidR="00CF00BF">
        <w:rPr>
          <w:iCs/>
          <w:kern w:val="22"/>
          <w:lang w:val="fr-FR"/>
        </w:rPr>
        <w:t xml:space="preserve">envisager </w:t>
      </w:r>
      <w:r w:rsidR="005B4EF3" w:rsidRPr="00014329">
        <w:rPr>
          <w:iCs/>
          <w:kern w:val="22"/>
          <w:lang w:val="fr-FR"/>
        </w:rPr>
        <w:t xml:space="preserve">la périodicité de ses futures réunions, et compte tenu du fait que la </w:t>
      </w:r>
      <w:r w:rsidR="00CF00BF">
        <w:rPr>
          <w:iCs/>
          <w:kern w:val="22"/>
          <w:lang w:val="fr-FR"/>
        </w:rPr>
        <w:t>quinzième réunion</w:t>
      </w:r>
      <w:r w:rsidR="005B4EF3" w:rsidRPr="00014329">
        <w:rPr>
          <w:iCs/>
          <w:kern w:val="22"/>
          <w:lang w:val="fr-FR"/>
        </w:rPr>
        <w:t xml:space="preserve"> </w:t>
      </w:r>
      <w:r w:rsidR="00CF00BF">
        <w:rPr>
          <w:iCs/>
          <w:kern w:val="22"/>
          <w:lang w:val="fr-FR"/>
        </w:rPr>
        <w:t>sera reprogrammée d’un an</w:t>
      </w:r>
      <w:r w:rsidR="005B4EF3" w:rsidRPr="00014329">
        <w:rPr>
          <w:iCs/>
          <w:kern w:val="22"/>
          <w:lang w:val="fr-FR"/>
        </w:rPr>
        <w:t xml:space="preserve">, la </w:t>
      </w:r>
      <w:r w:rsidR="00CF00BF">
        <w:rPr>
          <w:iCs/>
          <w:kern w:val="22"/>
          <w:lang w:val="fr-FR"/>
        </w:rPr>
        <w:t>Conférence des Parties</w:t>
      </w:r>
      <w:r w:rsidR="005B4EF3" w:rsidRPr="00014329">
        <w:rPr>
          <w:iCs/>
          <w:kern w:val="22"/>
          <w:lang w:val="fr-FR"/>
        </w:rPr>
        <w:t xml:space="preserve"> pourrait envisager des scénarios dans lesquels la </w:t>
      </w:r>
      <w:r w:rsidR="00CF00BF">
        <w:rPr>
          <w:iCs/>
          <w:kern w:val="22"/>
          <w:lang w:val="fr-FR"/>
        </w:rPr>
        <w:t>seizième réunion</w:t>
      </w:r>
      <w:r w:rsidR="005B4EF3" w:rsidRPr="00014329">
        <w:rPr>
          <w:iCs/>
          <w:kern w:val="22"/>
          <w:lang w:val="fr-FR"/>
        </w:rPr>
        <w:t xml:space="preserve"> se tiendra soit en 2022 (scénario A) soit en 2023 (scénario B).</w:t>
      </w:r>
    </w:p>
    <w:p w14:paraId="602CA58D" w14:textId="37B84E41" w:rsidR="00CE4BBD" w:rsidRPr="00014329" w:rsidRDefault="00084E4F" w:rsidP="00084E4F">
      <w:pPr>
        <w:pStyle w:val="ListParagraph"/>
        <w:spacing w:before="120" w:after="120"/>
        <w:ind w:left="0"/>
        <w:contextualSpacing w:val="0"/>
        <w:rPr>
          <w:iCs/>
          <w:kern w:val="22"/>
          <w:lang w:val="fr-FR"/>
        </w:rPr>
      </w:pPr>
      <w:r>
        <w:rPr>
          <w:iCs/>
          <w:kern w:val="22"/>
          <w:lang w:val="fr-FR"/>
        </w:rPr>
        <w:t>22.</w:t>
      </w:r>
      <w:r>
        <w:rPr>
          <w:iCs/>
          <w:kern w:val="22"/>
          <w:lang w:val="fr-FR"/>
        </w:rPr>
        <w:tab/>
      </w:r>
      <w:r w:rsidR="005B4EF3" w:rsidRPr="00014329">
        <w:rPr>
          <w:iCs/>
          <w:kern w:val="22"/>
          <w:lang w:val="fr-FR"/>
        </w:rPr>
        <w:t xml:space="preserve">Les coûts salariaux sont estimés pour 78 postes (49 </w:t>
      </w:r>
      <w:r w:rsidR="00225327">
        <w:rPr>
          <w:iCs/>
          <w:kern w:val="22"/>
          <w:lang w:val="fr-FR"/>
        </w:rPr>
        <w:t>professionnels</w:t>
      </w:r>
      <w:r w:rsidR="005B4EF3" w:rsidRPr="00014329">
        <w:rPr>
          <w:iCs/>
          <w:kern w:val="22"/>
          <w:lang w:val="fr-FR"/>
        </w:rPr>
        <w:t xml:space="preserve"> et 29 agents des services généraux) conformément au tableau des effectifs approuvé par la Conférence des </w:t>
      </w:r>
      <w:r w:rsidR="003F7A1D">
        <w:rPr>
          <w:iCs/>
          <w:kern w:val="22"/>
          <w:lang w:val="fr-FR"/>
        </w:rPr>
        <w:t>P</w:t>
      </w:r>
      <w:r w:rsidR="005B4EF3" w:rsidRPr="00014329">
        <w:rPr>
          <w:iCs/>
          <w:kern w:val="22"/>
          <w:lang w:val="fr-FR"/>
        </w:rPr>
        <w:t>arties à sa quatorzième réunion (tableau 6).</w:t>
      </w:r>
    </w:p>
    <w:p w14:paraId="43014C04" w14:textId="1AC0A331" w:rsidR="0052689A" w:rsidRDefault="00084E4F" w:rsidP="00084E4F">
      <w:pPr>
        <w:pStyle w:val="ListParagraph"/>
        <w:spacing w:before="120" w:after="120"/>
        <w:ind w:left="0"/>
        <w:contextualSpacing w:val="0"/>
        <w:rPr>
          <w:iCs/>
          <w:kern w:val="22"/>
          <w:lang w:val="fr-FR"/>
        </w:rPr>
      </w:pPr>
      <w:r>
        <w:rPr>
          <w:iCs/>
          <w:kern w:val="22"/>
          <w:lang w:val="fr-FR"/>
        </w:rPr>
        <w:t>23.</w:t>
      </w:r>
      <w:r>
        <w:rPr>
          <w:iCs/>
          <w:kern w:val="22"/>
          <w:lang w:val="fr-FR"/>
        </w:rPr>
        <w:tab/>
      </w:r>
      <w:r w:rsidR="00CF00BF">
        <w:rPr>
          <w:iCs/>
          <w:kern w:val="22"/>
          <w:lang w:val="fr-FR"/>
        </w:rPr>
        <w:t xml:space="preserve">Dans la décision </w:t>
      </w:r>
      <w:r w:rsidR="005B4EF3" w:rsidRPr="00014329">
        <w:rPr>
          <w:iCs/>
          <w:kern w:val="22"/>
          <w:lang w:val="fr-FR"/>
        </w:rPr>
        <w:t xml:space="preserve">14/37, </w:t>
      </w:r>
      <w:r w:rsidR="00CF00BF">
        <w:rPr>
          <w:iCs/>
          <w:kern w:val="22"/>
          <w:lang w:val="fr-FR"/>
        </w:rPr>
        <w:t xml:space="preserve">paragraphe 2, </w:t>
      </w:r>
      <w:r w:rsidR="005B4EF3" w:rsidRPr="00014329">
        <w:rPr>
          <w:iCs/>
          <w:kern w:val="22"/>
          <w:lang w:val="fr-FR"/>
        </w:rPr>
        <w:t xml:space="preserve">la Conférence des Parties est convenue de répartir les coûts des services de </w:t>
      </w:r>
      <w:r w:rsidR="002E3B64">
        <w:rPr>
          <w:iCs/>
          <w:kern w:val="22"/>
          <w:lang w:val="fr-FR"/>
        </w:rPr>
        <w:t>s</w:t>
      </w:r>
      <w:r w:rsidR="005B4EF3" w:rsidRPr="00014329">
        <w:rPr>
          <w:iCs/>
          <w:kern w:val="22"/>
          <w:lang w:val="fr-FR"/>
        </w:rPr>
        <w:t xml:space="preserve">ecrétariat entre la Convention, le Protocole de Cartagena sur la prévention des risques biotechnologiques et le Protocole de Nagoya sur </w:t>
      </w:r>
      <w:r w:rsidR="002E3B64">
        <w:rPr>
          <w:iCs/>
          <w:kern w:val="22"/>
          <w:lang w:val="fr-FR"/>
        </w:rPr>
        <w:t xml:space="preserve">l’accès et le partage des avantages </w:t>
      </w:r>
      <w:r w:rsidR="005B4EF3" w:rsidRPr="00014329">
        <w:rPr>
          <w:iCs/>
          <w:kern w:val="22"/>
          <w:lang w:val="fr-FR"/>
        </w:rPr>
        <w:t xml:space="preserve">selon un ratio de </w:t>
      </w:r>
      <w:proofErr w:type="gramStart"/>
      <w:r w:rsidR="005B4EF3" w:rsidRPr="00014329">
        <w:rPr>
          <w:iCs/>
          <w:kern w:val="22"/>
          <w:lang w:val="fr-FR"/>
        </w:rPr>
        <w:t>74:</w:t>
      </w:r>
      <w:proofErr w:type="gramEnd"/>
      <w:r w:rsidR="005B4EF3" w:rsidRPr="00014329">
        <w:rPr>
          <w:iCs/>
          <w:kern w:val="22"/>
          <w:lang w:val="fr-FR"/>
        </w:rPr>
        <w:t>15:11 pour l'exercice biennal 2019-2020. Le même ratio sera utilisé pour le budget intérimaire de 2021. Le Secrétariat déterminera un nouveau ratio pour l'exercice biennal 2021-2022 et le soumettra à l'examen de la Conférence des Parties lors de sa quinzième réunion.</w:t>
      </w:r>
    </w:p>
    <w:p w14:paraId="6B415827" w14:textId="44DFC9B4" w:rsidR="00B92780" w:rsidRDefault="00B92780" w:rsidP="00084E4F">
      <w:pPr>
        <w:pStyle w:val="ListParagraph"/>
        <w:spacing w:before="120" w:after="120"/>
        <w:ind w:left="0"/>
        <w:contextualSpacing w:val="0"/>
        <w:rPr>
          <w:iCs/>
          <w:kern w:val="22"/>
          <w:lang w:val="fr-FR"/>
        </w:rPr>
      </w:pPr>
    </w:p>
    <w:p w14:paraId="5849C9D8" w14:textId="77777777" w:rsidR="00B92780" w:rsidRDefault="00B92780" w:rsidP="00084E4F">
      <w:pPr>
        <w:pStyle w:val="ListParagraph"/>
        <w:spacing w:before="120" w:after="120"/>
        <w:ind w:left="0"/>
        <w:contextualSpacing w:val="0"/>
        <w:rPr>
          <w:iCs/>
          <w:kern w:val="22"/>
          <w:lang w:val="fr-FR"/>
        </w:rPr>
      </w:pPr>
    </w:p>
    <w:p w14:paraId="38C0D310" w14:textId="77777777" w:rsidR="00F02283" w:rsidRDefault="003717EB" w:rsidP="00CC21F0">
      <w:pPr>
        <w:spacing w:before="120" w:after="120"/>
        <w:rPr>
          <w:b/>
          <w:bCs/>
          <w:kern w:val="22"/>
          <w:szCs w:val="22"/>
          <w:lang w:val="fr-FR"/>
        </w:rPr>
      </w:pPr>
      <w:r w:rsidRPr="003717EB">
        <w:rPr>
          <w:b/>
          <w:bCs/>
          <w:kern w:val="22"/>
          <w:szCs w:val="22"/>
          <w:lang w:val="fr-FR"/>
        </w:rPr>
        <w:lastRenderedPageBreak/>
        <w:t>Tableau 5a</w:t>
      </w:r>
    </w:p>
    <w:p w14:paraId="45113287" w14:textId="1057743D" w:rsidR="000B209F" w:rsidRPr="00014329" w:rsidRDefault="003717EB" w:rsidP="00CC21F0">
      <w:pPr>
        <w:spacing w:before="120" w:after="120"/>
        <w:rPr>
          <w:b/>
          <w:bCs/>
          <w:kern w:val="22"/>
          <w:szCs w:val="22"/>
          <w:lang w:val="fr-FR"/>
        </w:rPr>
      </w:pPr>
      <w:r w:rsidRPr="003717EB">
        <w:rPr>
          <w:b/>
          <w:bCs/>
          <w:kern w:val="22"/>
          <w:szCs w:val="22"/>
          <w:lang w:val="fr-FR"/>
        </w:rPr>
        <w:t>Proposition de budget intérimaire intégré pour 2021 (par objet de dépense)</w:t>
      </w:r>
    </w:p>
    <w:tbl>
      <w:tblPr>
        <w:tblW w:w="9535" w:type="dxa"/>
        <w:tblLayout w:type="fixed"/>
        <w:tblLook w:val="04A0" w:firstRow="1" w:lastRow="0" w:firstColumn="1" w:lastColumn="0" w:noHBand="0" w:noVBand="1"/>
      </w:tblPr>
      <w:tblGrid>
        <w:gridCol w:w="4405"/>
        <w:gridCol w:w="1260"/>
        <w:gridCol w:w="1620"/>
        <w:gridCol w:w="1350"/>
        <w:gridCol w:w="900"/>
      </w:tblGrid>
      <w:tr w:rsidR="00315701" w:rsidRPr="002C5E27" w14:paraId="3A118FCE" w14:textId="77777777" w:rsidTr="002C5E27">
        <w:trPr>
          <w:trHeight w:val="645"/>
        </w:trPr>
        <w:tc>
          <w:tcPr>
            <w:tcW w:w="44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FCA0F5" w14:textId="03BAC7EA" w:rsidR="00315701" w:rsidRPr="002C5E27" w:rsidRDefault="003717EB" w:rsidP="00315701">
            <w:pPr>
              <w:jc w:val="center"/>
              <w:rPr>
                <w:i/>
                <w:iCs/>
                <w:color w:val="000000"/>
                <w:kern w:val="22"/>
                <w:szCs w:val="22"/>
                <w:lang w:val="fr-FR" w:eastAsia="en-CA"/>
              </w:rPr>
            </w:pPr>
            <w:r w:rsidRPr="002C5E27">
              <w:rPr>
                <w:i/>
                <w:iCs/>
                <w:color w:val="000000"/>
                <w:kern w:val="22"/>
                <w:szCs w:val="22"/>
                <w:lang w:val="fr-FR" w:eastAsia="en-CA"/>
              </w:rPr>
              <w:t>Objet de dépense</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B7C1DA" w14:textId="26AAA252" w:rsidR="00315701" w:rsidRPr="002C5E27" w:rsidRDefault="003717EB" w:rsidP="00315701">
            <w:pPr>
              <w:jc w:val="center"/>
              <w:rPr>
                <w:i/>
                <w:iCs/>
                <w:color w:val="000000"/>
                <w:kern w:val="22"/>
                <w:szCs w:val="22"/>
                <w:lang w:val="fr-FR" w:eastAsia="en-CA"/>
              </w:rPr>
            </w:pPr>
            <w:r w:rsidRPr="002C5E27">
              <w:rPr>
                <w:i/>
                <w:iCs/>
                <w:color w:val="000000"/>
                <w:kern w:val="22"/>
                <w:szCs w:val="22"/>
                <w:lang w:val="fr-FR" w:eastAsia="en-CA"/>
              </w:rPr>
              <w:t>Budget approuvé 2020</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94A2CA" w14:textId="26FD3AAB" w:rsidR="00315701" w:rsidRPr="002C5E27" w:rsidRDefault="0057128A" w:rsidP="00315701">
            <w:pPr>
              <w:jc w:val="center"/>
              <w:rPr>
                <w:i/>
                <w:iCs/>
                <w:color w:val="000000"/>
                <w:kern w:val="22"/>
                <w:szCs w:val="22"/>
                <w:lang w:val="fr-FR" w:eastAsia="en-CA"/>
              </w:rPr>
            </w:pPr>
            <w:r w:rsidRPr="002C5E27">
              <w:rPr>
                <w:i/>
                <w:iCs/>
                <w:color w:val="000000"/>
                <w:kern w:val="22"/>
                <w:szCs w:val="22"/>
                <w:lang w:val="fr-FR" w:eastAsia="en-CA"/>
              </w:rPr>
              <w:t>Budget total proposé pour 2021</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35C3A6" w14:textId="77777777" w:rsidR="00315701" w:rsidRPr="002C5E27" w:rsidRDefault="00315701" w:rsidP="00315701">
            <w:pPr>
              <w:jc w:val="center"/>
              <w:rPr>
                <w:i/>
                <w:iCs/>
                <w:color w:val="000000"/>
                <w:kern w:val="22"/>
                <w:szCs w:val="22"/>
                <w:lang w:val="fr-FR" w:eastAsia="en-CA"/>
              </w:rPr>
            </w:pPr>
            <w:r w:rsidRPr="002C5E27">
              <w:rPr>
                <w:i/>
                <w:iCs/>
                <w:color w:val="000000"/>
                <w:kern w:val="22"/>
                <w:szCs w:val="22"/>
                <w:lang w:val="fr-FR" w:eastAsia="en-CA"/>
              </w:rPr>
              <w:t>Variance</w:t>
            </w:r>
          </w:p>
        </w:tc>
        <w:tc>
          <w:tcPr>
            <w:tcW w:w="9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E9F8DD9" w14:textId="77777777" w:rsidR="00315701" w:rsidRPr="002C5E27" w:rsidRDefault="00315701" w:rsidP="00315701">
            <w:pPr>
              <w:jc w:val="center"/>
              <w:rPr>
                <w:i/>
                <w:iCs/>
                <w:color w:val="000000"/>
                <w:kern w:val="22"/>
                <w:szCs w:val="22"/>
                <w:lang w:val="fr-FR" w:eastAsia="en-CA"/>
              </w:rPr>
            </w:pPr>
            <w:r w:rsidRPr="002C5E27">
              <w:rPr>
                <w:i/>
                <w:iCs/>
                <w:color w:val="000000"/>
                <w:kern w:val="22"/>
                <w:szCs w:val="22"/>
                <w:lang w:val="fr-FR" w:eastAsia="en-CA"/>
              </w:rPr>
              <w:t>Notes</w:t>
            </w:r>
          </w:p>
        </w:tc>
      </w:tr>
      <w:tr w:rsidR="00315701" w:rsidRPr="002C5E27" w14:paraId="03A58792" w14:textId="77777777" w:rsidTr="002C5E27">
        <w:trPr>
          <w:trHeight w:val="458"/>
        </w:trPr>
        <w:tc>
          <w:tcPr>
            <w:tcW w:w="4405" w:type="dxa"/>
            <w:vMerge/>
            <w:tcBorders>
              <w:top w:val="single" w:sz="4" w:space="0" w:color="auto"/>
              <w:left w:val="single" w:sz="4" w:space="0" w:color="auto"/>
              <w:bottom w:val="single" w:sz="4" w:space="0" w:color="auto"/>
              <w:right w:val="single" w:sz="4" w:space="0" w:color="auto"/>
            </w:tcBorders>
            <w:vAlign w:val="center"/>
            <w:hideMark/>
          </w:tcPr>
          <w:p w14:paraId="4EC6A0BC" w14:textId="77777777" w:rsidR="00315701" w:rsidRPr="002C5E27" w:rsidRDefault="00315701" w:rsidP="00315701">
            <w:pPr>
              <w:rPr>
                <w:b/>
                <w:bCs/>
                <w:i/>
                <w:iCs/>
                <w:color w:val="000000"/>
                <w:kern w:val="22"/>
                <w:szCs w:val="22"/>
                <w:lang w:val="fr-FR" w:eastAsia="en-CA"/>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35113067" w14:textId="77777777" w:rsidR="00315701" w:rsidRPr="002C5E27" w:rsidRDefault="00315701" w:rsidP="00315701">
            <w:pPr>
              <w:rPr>
                <w:b/>
                <w:bCs/>
                <w:i/>
                <w:iCs/>
                <w:color w:val="000000"/>
                <w:kern w:val="22"/>
                <w:szCs w:val="22"/>
                <w:lang w:val="fr-FR" w:eastAsia="en-CA"/>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6F7AACAB" w14:textId="77777777" w:rsidR="00315701" w:rsidRPr="002C5E27" w:rsidRDefault="00315701" w:rsidP="00315701">
            <w:pPr>
              <w:rPr>
                <w:b/>
                <w:bCs/>
                <w:i/>
                <w:iCs/>
                <w:color w:val="000000"/>
                <w:kern w:val="22"/>
                <w:szCs w:val="22"/>
                <w:lang w:val="fr-FR" w:eastAsia="en-CA"/>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503F0060" w14:textId="77777777" w:rsidR="00315701" w:rsidRPr="002C5E27" w:rsidRDefault="00315701" w:rsidP="00315701">
            <w:pPr>
              <w:rPr>
                <w:b/>
                <w:bCs/>
                <w:i/>
                <w:iCs/>
                <w:color w:val="000000"/>
                <w:kern w:val="22"/>
                <w:szCs w:val="22"/>
                <w:lang w:val="fr-FR" w:eastAsia="en-CA"/>
              </w:rPr>
            </w:pPr>
          </w:p>
        </w:tc>
        <w:tc>
          <w:tcPr>
            <w:tcW w:w="900" w:type="dxa"/>
            <w:vMerge/>
            <w:tcBorders>
              <w:top w:val="single" w:sz="4" w:space="0" w:color="auto"/>
              <w:left w:val="single" w:sz="4" w:space="0" w:color="auto"/>
              <w:bottom w:val="single" w:sz="4" w:space="0" w:color="000000"/>
              <w:right w:val="single" w:sz="4" w:space="0" w:color="auto"/>
            </w:tcBorders>
            <w:vAlign w:val="center"/>
            <w:hideMark/>
          </w:tcPr>
          <w:p w14:paraId="1BFE3E37" w14:textId="77777777" w:rsidR="00315701" w:rsidRPr="002C5E27" w:rsidRDefault="00315701" w:rsidP="00315701">
            <w:pPr>
              <w:rPr>
                <w:b/>
                <w:bCs/>
                <w:i/>
                <w:iCs/>
                <w:color w:val="000000"/>
                <w:kern w:val="22"/>
                <w:szCs w:val="22"/>
                <w:lang w:val="fr-FR" w:eastAsia="en-CA"/>
              </w:rPr>
            </w:pPr>
          </w:p>
        </w:tc>
      </w:tr>
      <w:tr w:rsidR="00315701" w:rsidRPr="002C5E27" w14:paraId="5FAFD6F0" w14:textId="77777777" w:rsidTr="002C5E27">
        <w:trPr>
          <w:trHeight w:val="300"/>
        </w:trPr>
        <w:tc>
          <w:tcPr>
            <w:tcW w:w="4405" w:type="dxa"/>
            <w:vMerge/>
            <w:tcBorders>
              <w:top w:val="single" w:sz="4" w:space="0" w:color="auto"/>
              <w:left w:val="single" w:sz="4" w:space="0" w:color="auto"/>
              <w:bottom w:val="single" w:sz="4" w:space="0" w:color="auto"/>
              <w:right w:val="single" w:sz="4" w:space="0" w:color="auto"/>
            </w:tcBorders>
            <w:vAlign w:val="center"/>
            <w:hideMark/>
          </w:tcPr>
          <w:p w14:paraId="004E9960" w14:textId="77777777" w:rsidR="00315701" w:rsidRPr="002C5E27" w:rsidRDefault="00315701" w:rsidP="00315701">
            <w:pPr>
              <w:rPr>
                <w:b/>
                <w:bCs/>
                <w:i/>
                <w:iCs/>
                <w:color w:val="000000"/>
                <w:kern w:val="22"/>
                <w:szCs w:val="22"/>
                <w:lang w:val="fr-FR" w:eastAsia="en-CA"/>
              </w:rPr>
            </w:pPr>
          </w:p>
        </w:tc>
        <w:tc>
          <w:tcPr>
            <w:tcW w:w="4230" w:type="dxa"/>
            <w:gridSpan w:val="3"/>
            <w:tcBorders>
              <w:top w:val="single" w:sz="4" w:space="0" w:color="auto"/>
              <w:left w:val="nil"/>
              <w:bottom w:val="single" w:sz="4" w:space="0" w:color="auto"/>
              <w:right w:val="single" w:sz="4" w:space="0" w:color="auto"/>
            </w:tcBorders>
            <w:shd w:val="clear" w:color="auto" w:fill="auto"/>
            <w:vAlign w:val="center"/>
            <w:hideMark/>
          </w:tcPr>
          <w:p w14:paraId="625EA73A" w14:textId="088616EF" w:rsidR="00315701" w:rsidRPr="002C5E27" w:rsidRDefault="0057128A" w:rsidP="00315701">
            <w:pPr>
              <w:jc w:val="center"/>
              <w:rPr>
                <w:b/>
                <w:bCs/>
                <w:i/>
                <w:iCs/>
                <w:color w:val="000000"/>
                <w:kern w:val="22"/>
                <w:szCs w:val="22"/>
                <w:lang w:val="fr-FR" w:eastAsia="en-CA"/>
              </w:rPr>
            </w:pPr>
            <w:r w:rsidRPr="002C5E27">
              <w:rPr>
                <w:b/>
                <w:bCs/>
                <w:i/>
                <w:iCs/>
                <w:color w:val="000000"/>
                <w:kern w:val="22"/>
                <w:szCs w:val="22"/>
                <w:lang w:val="fr-FR" w:eastAsia="en-CA"/>
              </w:rPr>
              <w:t>(</w:t>
            </w:r>
            <w:r w:rsidRPr="002C5E27">
              <w:rPr>
                <w:i/>
                <w:iCs/>
                <w:color w:val="000000"/>
                <w:kern w:val="22"/>
                <w:szCs w:val="22"/>
                <w:lang w:val="fr-FR" w:eastAsia="en-CA"/>
              </w:rPr>
              <w:t>Milliers de dollars américains)</w:t>
            </w:r>
          </w:p>
        </w:tc>
        <w:tc>
          <w:tcPr>
            <w:tcW w:w="900" w:type="dxa"/>
            <w:tcBorders>
              <w:top w:val="nil"/>
              <w:left w:val="nil"/>
              <w:bottom w:val="single" w:sz="4" w:space="0" w:color="auto"/>
              <w:right w:val="single" w:sz="4" w:space="0" w:color="auto"/>
            </w:tcBorders>
            <w:shd w:val="clear" w:color="auto" w:fill="auto"/>
            <w:vAlign w:val="center"/>
            <w:hideMark/>
          </w:tcPr>
          <w:p w14:paraId="6442547B" w14:textId="77777777" w:rsidR="00315701" w:rsidRPr="002C5E27" w:rsidRDefault="00315701" w:rsidP="00315701">
            <w:pPr>
              <w:jc w:val="center"/>
              <w:rPr>
                <w:b/>
                <w:bCs/>
                <w:i/>
                <w:iCs/>
                <w:color w:val="000000"/>
                <w:kern w:val="22"/>
                <w:szCs w:val="22"/>
                <w:lang w:val="fr-FR" w:eastAsia="en-CA"/>
              </w:rPr>
            </w:pPr>
            <w:r w:rsidRPr="002C5E27">
              <w:rPr>
                <w:b/>
                <w:bCs/>
                <w:i/>
                <w:iCs/>
                <w:color w:val="000000"/>
                <w:kern w:val="22"/>
                <w:szCs w:val="22"/>
                <w:lang w:val="fr-FR" w:eastAsia="en-CA"/>
              </w:rPr>
              <w:t> </w:t>
            </w:r>
          </w:p>
        </w:tc>
      </w:tr>
      <w:tr w:rsidR="00315701" w:rsidRPr="002C5E27" w14:paraId="380D36E0" w14:textId="77777777" w:rsidTr="002C5E27">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77D5905F" w14:textId="1AC3E179" w:rsidR="00315701" w:rsidRPr="002C5E27" w:rsidRDefault="00315701" w:rsidP="00315701">
            <w:pPr>
              <w:rPr>
                <w:color w:val="000000"/>
                <w:kern w:val="22"/>
                <w:szCs w:val="22"/>
                <w:lang w:val="fr-FR" w:eastAsia="en-CA"/>
              </w:rPr>
            </w:pPr>
            <w:r w:rsidRPr="002C5E27">
              <w:rPr>
                <w:color w:val="000000"/>
                <w:kern w:val="22"/>
                <w:szCs w:val="22"/>
                <w:lang w:val="fr-FR" w:eastAsia="en-CA"/>
              </w:rPr>
              <w:t>A.</w:t>
            </w:r>
            <w:r w:rsidR="00516B1C" w:rsidRPr="002C5E27">
              <w:rPr>
                <w:color w:val="000000"/>
                <w:kern w:val="22"/>
                <w:szCs w:val="22"/>
                <w:lang w:val="fr-FR" w:eastAsia="en-CA"/>
              </w:rPr>
              <w:t xml:space="preserve"> </w:t>
            </w:r>
            <w:r w:rsidR="006F4029" w:rsidRPr="002C5E27">
              <w:rPr>
                <w:color w:val="000000"/>
                <w:kern w:val="22"/>
                <w:szCs w:val="22"/>
                <w:lang w:val="fr-FR" w:eastAsia="en-CA"/>
              </w:rPr>
              <w:t>Dépenses</w:t>
            </w:r>
            <w:r w:rsidR="00516B1C" w:rsidRPr="002C5E27">
              <w:rPr>
                <w:color w:val="000000"/>
                <w:kern w:val="22"/>
                <w:szCs w:val="22"/>
                <w:lang w:val="fr-FR" w:eastAsia="en-CA"/>
              </w:rPr>
              <w:t xml:space="preserve"> du personnel </w:t>
            </w:r>
          </w:p>
        </w:tc>
        <w:tc>
          <w:tcPr>
            <w:tcW w:w="1260" w:type="dxa"/>
            <w:tcBorders>
              <w:top w:val="nil"/>
              <w:left w:val="nil"/>
              <w:bottom w:val="single" w:sz="4" w:space="0" w:color="auto"/>
              <w:right w:val="single" w:sz="4" w:space="0" w:color="auto"/>
            </w:tcBorders>
            <w:shd w:val="clear" w:color="auto" w:fill="auto"/>
            <w:vAlign w:val="center"/>
            <w:hideMark/>
          </w:tcPr>
          <w:p w14:paraId="57108EE3" w14:textId="77777777" w:rsidR="00315701" w:rsidRPr="002C5E27" w:rsidRDefault="00315701" w:rsidP="00315701">
            <w:pPr>
              <w:jc w:val="right"/>
              <w:rPr>
                <w:color w:val="000000"/>
                <w:kern w:val="22"/>
                <w:szCs w:val="22"/>
                <w:lang w:val="fr-FR" w:eastAsia="en-CA"/>
              </w:rPr>
            </w:pPr>
            <w:r w:rsidRPr="002C5E27">
              <w:rPr>
                <w:color w:val="000000"/>
                <w:kern w:val="22"/>
                <w:szCs w:val="22"/>
                <w:lang w:val="fr-FR" w:eastAsia="en-CA"/>
              </w:rPr>
              <w:t>11,626.6</w:t>
            </w:r>
          </w:p>
        </w:tc>
        <w:tc>
          <w:tcPr>
            <w:tcW w:w="1620" w:type="dxa"/>
            <w:tcBorders>
              <w:top w:val="nil"/>
              <w:left w:val="nil"/>
              <w:bottom w:val="single" w:sz="4" w:space="0" w:color="auto"/>
              <w:right w:val="single" w:sz="4" w:space="0" w:color="auto"/>
            </w:tcBorders>
            <w:shd w:val="clear" w:color="auto" w:fill="auto"/>
            <w:vAlign w:val="center"/>
            <w:hideMark/>
          </w:tcPr>
          <w:p w14:paraId="31467667" w14:textId="77777777" w:rsidR="00315701" w:rsidRPr="002C5E27" w:rsidRDefault="00315701" w:rsidP="00315701">
            <w:pPr>
              <w:jc w:val="right"/>
              <w:rPr>
                <w:color w:val="000000"/>
                <w:kern w:val="22"/>
                <w:szCs w:val="22"/>
                <w:lang w:val="fr-FR" w:eastAsia="en-CA"/>
              </w:rPr>
            </w:pPr>
            <w:r w:rsidRPr="002C5E27">
              <w:rPr>
                <w:color w:val="000000"/>
                <w:kern w:val="22"/>
                <w:szCs w:val="22"/>
                <w:lang w:val="fr-FR" w:eastAsia="en-CA"/>
              </w:rPr>
              <w:t>11,936.8</w:t>
            </w:r>
          </w:p>
        </w:tc>
        <w:tc>
          <w:tcPr>
            <w:tcW w:w="1350" w:type="dxa"/>
            <w:tcBorders>
              <w:top w:val="nil"/>
              <w:left w:val="nil"/>
              <w:bottom w:val="single" w:sz="4" w:space="0" w:color="auto"/>
              <w:right w:val="single" w:sz="4" w:space="0" w:color="auto"/>
            </w:tcBorders>
            <w:shd w:val="clear" w:color="auto" w:fill="auto"/>
            <w:vAlign w:val="center"/>
            <w:hideMark/>
          </w:tcPr>
          <w:p w14:paraId="77392262" w14:textId="77777777" w:rsidR="00315701" w:rsidRPr="002C5E27" w:rsidRDefault="00315701" w:rsidP="00315701">
            <w:pPr>
              <w:jc w:val="right"/>
              <w:rPr>
                <w:color w:val="000000"/>
                <w:kern w:val="22"/>
                <w:szCs w:val="22"/>
                <w:lang w:val="fr-FR" w:eastAsia="en-CA"/>
              </w:rPr>
            </w:pPr>
            <w:r w:rsidRPr="002C5E27">
              <w:rPr>
                <w:color w:val="000000"/>
                <w:kern w:val="22"/>
                <w:szCs w:val="22"/>
                <w:lang w:val="fr-FR" w:eastAsia="en-CA"/>
              </w:rPr>
              <w:t>310.2</w:t>
            </w:r>
          </w:p>
        </w:tc>
        <w:tc>
          <w:tcPr>
            <w:tcW w:w="900" w:type="dxa"/>
            <w:tcBorders>
              <w:top w:val="nil"/>
              <w:left w:val="nil"/>
              <w:bottom w:val="single" w:sz="4" w:space="0" w:color="auto"/>
              <w:right w:val="single" w:sz="4" w:space="0" w:color="auto"/>
            </w:tcBorders>
            <w:shd w:val="clear" w:color="auto" w:fill="auto"/>
            <w:vAlign w:val="center"/>
            <w:hideMark/>
          </w:tcPr>
          <w:p w14:paraId="65E9090D" w14:textId="02295989" w:rsidR="00315701" w:rsidRPr="002C5E27" w:rsidRDefault="00315701" w:rsidP="00315701">
            <w:pPr>
              <w:jc w:val="center"/>
              <w:rPr>
                <w:color w:val="000000"/>
                <w:kern w:val="22"/>
                <w:szCs w:val="22"/>
                <w:lang w:val="fr-FR" w:eastAsia="en-CA"/>
              </w:rPr>
            </w:pPr>
            <w:r w:rsidRPr="002C5E27">
              <w:rPr>
                <w:color w:val="000000"/>
                <w:kern w:val="22"/>
                <w:szCs w:val="22"/>
                <w:lang w:val="fr-FR" w:eastAsia="en-CA"/>
              </w:rPr>
              <w:t>1</w:t>
            </w:r>
          </w:p>
        </w:tc>
      </w:tr>
      <w:tr w:rsidR="00315701" w:rsidRPr="002C5E27" w14:paraId="031F4653" w14:textId="77777777" w:rsidTr="002C5E27">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6DFF1294" w14:textId="30F9F5B2" w:rsidR="00315701" w:rsidRPr="002C5E27" w:rsidRDefault="00315701" w:rsidP="00315701">
            <w:pPr>
              <w:rPr>
                <w:color w:val="000000"/>
                <w:kern w:val="22"/>
                <w:szCs w:val="22"/>
                <w:lang w:val="fr-FR" w:eastAsia="en-CA"/>
              </w:rPr>
            </w:pPr>
            <w:r w:rsidRPr="002C5E27">
              <w:rPr>
                <w:color w:val="000000"/>
                <w:kern w:val="22"/>
                <w:szCs w:val="22"/>
                <w:lang w:val="fr-FR" w:eastAsia="en-CA"/>
              </w:rPr>
              <w:t xml:space="preserve">B. </w:t>
            </w:r>
            <w:r w:rsidR="00516B1C" w:rsidRPr="002C5E27">
              <w:rPr>
                <w:color w:val="000000"/>
                <w:kern w:val="22"/>
                <w:szCs w:val="22"/>
                <w:lang w:val="fr-FR" w:eastAsia="en-CA"/>
              </w:rPr>
              <w:t>Réunions du Bureau</w:t>
            </w:r>
          </w:p>
        </w:tc>
        <w:tc>
          <w:tcPr>
            <w:tcW w:w="1260" w:type="dxa"/>
            <w:tcBorders>
              <w:top w:val="nil"/>
              <w:left w:val="nil"/>
              <w:bottom w:val="single" w:sz="4" w:space="0" w:color="auto"/>
              <w:right w:val="single" w:sz="4" w:space="0" w:color="auto"/>
            </w:tcBorders>
            <w:shd w:val="clear" w:color="auto" w:fill="auto"/>
            <w:vAlign w:val="center"/>
            <w:hideMark/>
          </w:tcPr>
          <w:p w14:paraId="6D78A47C" w14:textId="77777777" w:rsidR="00315701" w:rsidRPr="002C5E27" w:rsidRDefault="00315701" w:rsidP="00315701">
            <w:pPr>
              <w:jc w:val="right"/>
              <w:rPr>
                <w:color w:val="000000"/>
                <w:kern w:val="22"/>
                <w:szCs w:val="22"/>
                <w:lang w:val="fr-FR" w:eastAsia="en-CA"/>
              </w:rPr>
            </w:pPr>
            <w:r w:rsidRPr="002C5E27">
              <w:rPr>
                <w:color w:val="000000"/>
                <w:kern w:val="22"/>
                <w:szCs w:val="22"/>
                <w:lang w:val="fr-FR" w:eastAsia="en-CA"/>
              </w:rPr>
              <w:t>215.0</w:t>
            </w:r>
          </w:p>
        </w:tc>
        <w:tc>
          <w:tcPr>
            <w:tcW w:w="1620" w:type="dxa"/>
            <w:tcBorders>
              <w:top w:val="nil"/>
              <w:left w:val="nil"/>
              <w:bottom w:val="single" w:sz="4" w:space="0" w:color="auto"/>
              <w:right w:val="single" w:sz="4" w:space="0" w:color="auto"/>
            </w:tcBorders>
            <w:shd w:val="clear" w:color="auto" w:fill="auto"/>
            <w:vAlign w:val="center"/>
            <w:hideMark/>
          </w:tcPr>
          <w:p w14:paraId="484B1877" w14:textId="4FE53A70" w:rsidR="00315701" w:rsidRPr="002C5E27" w:rsidRDefault="00315701" w:rsidP="00315701">
            <w:pPr>
              <w:jc w:val="right"/>
              <w:rPr>
                <w:color w:val="000000"/>
                <w:kern w:val="22"/>
                <w:szCs w:val="22"/>
                <w:lang w:val="fr-FR" w:eastAsia="en-CA"/>
              </w:rPr>
            </w:pPr>
          </w:p>
        </w:tc>
        <w:tc>
          <w:tcPr>
            <w:tcW w:w="1350" w:type="dxa"/>
            <w:tcBorders>
              <w:top w:val="nil"/>
              <w:left w:val="nil"/>
              <w:bottom w:val="single" w:sz="4" w:space="0" w:color="auto"/>
              <w:right w:val="single" w:sz="4" w:space="0" w:color="auto"/>
            </w:tcBorders>
            <w:shd w:val="clear" w:color="auto" w:fill="auto"/>
            <w:vAlign w:val="center"/>
            <w:hideMark/>
          </w:tcPr>
          <w:p w14:paraId="03F66AF8" w14:textId="77777777" w:rsidR="00315701" w:rsidRPr="002C5E27" w:rsidRDefault="00315701" w:rsidP="00315701">
            <w:pPr>
              <w:jc w:val="right"/>
              <w:rPr>
                <w:color w:val="000000"/>
                <w:kern w:val="22"/>
                <w:szCs w:val="22"/>
                <w:lang w:val="fr-FR" w:eastAsia="en-CA"/>
              </w:rPr>
            </w:pPr>
            <w:r w:rsidRPr="002C5E27">
              <w:rPr>
                <w:color w:val="000000"/>
                <w:kern w:val="22"/>
                <w:szCs w:val="22"/>
                <w:lang w:val="fr-FR" w:eastAsia="en-CA"/>
              </w:rPr>
              <w:t>-215.0</w:t>
            </w:r>
          </w:p>
        </w:tc>
        <w:tc>
          <w:tcPr>
            <w:tcW w:w="900" w:type="dxa"/>
            <w:tcBorders>
              <w:top w:val="nil"/>
              <w:left w:val="nil"/>
              <w:bottom w:val="single" w:sz="4" w:space="0" w:color="auto"/>
              <w:right w:val="single" w:sz="4" w:space="0" w:color="auto"/>
            </w:tcBorders>
            <w:shd w:val="clear" w:color="auto" w:fill="auto"/>
            <w:vAlign w:val="center"/>
            <w:hideMark/>
          </w:tcPr>
          <w:p w14:paraId="1F72687D" w14:textId="0259321F" w:rsidR="00315701" w:rsidRPr="002C5E27" w:rsidRDefault="00315701" w:rsidP="00315701">
            <w:pPr>
              <w:jc w:val="center"/>
              <w:rPr>
                <w:color w:val="000000"/>
                <w:kern w:val="22"/>
                <w:szCs w:val="22"/>
                <w:lang w:val="fr-FR" w:eastAsia="en-CA"/>
              </w:rPr>
            </w:pPr>
            <w:r w:rsidRPr="002C5E27">
              <w:rPr>
                <w:color w:val="000000"/>
                <w:kern w:val="22"/>
                <w:szCs w:val="22"/>
                <w:lang w:val="fr-FR" w:eastAsia="en-CA"/>
              </w:rPr>
              <w:t>2</w:t>
            </w:r>
          </w:p>
        </w:tc>
      </w:tr>
      <w:tr w:rsidR="00315701" w:rsidRPr="002C5E27" w14:paraId="2BE40C60" w14:textId="77777777" w:rsidTr="002C5E27">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61D9997E" w14:textId="2B7D9CD1" w:rsidR="00315701" w:rsidRPr="002C5E27" w:rsidRDefault="00315701" w:rsidP="00315701">
            <w:pPr>
              <w:rPr>
                <w:color w:val="000000"/>
                <w:kern w:val="22"/>
                <w:szCs w:val="22"/>
                <w:lang w:val="fr-FR" w:eastAsia="en-CA"/>
              </w:rPr>
            </w:pPr>
            <w:r w:rsidRPr="002C5E27">
              <w:rPr>
                <w:color w:val="000000"/>
                <w:kern w:val="22"/>
                <w:szCs w:val="22"/>
                <w:lang w:val="fr-FR" w:eastAsia="en-CA"/>
              </w:rPr>
              <w:t xml:space="preserve">C. </w:t>
            </w:r>
            <w:r w:rsidR="006F4029" w:rsidRPr="002C5E27">
              <w:rPr>
                <w:color w:val="000000"/>
                <w:kern w:val="22"/>
                <w:szCs w:val="22"/>
                <w:lang w:val="fr-FR" w:eastAsia="en-CA"/>
              </w:rPr>
              <w:t>Voyages en mission</w:t>
            </w:r>
          </w:p>
        </w:tc>
        <w:tc>
          <w:tcPr>
            <w:tcW w:w="1260" w:type="dxa"/>
            <w:tcBorders>
              <w:top w:val="nil"/>
              <w:left w:val="nil"/>
              <w:bottom w:val="single" w:sz="4" w:space="0" w:color="auto"/>
              <w:right w:val="single" w:sz="4" w:space="0" w:color="auto"/>
            </w:tcBorders>
            <w:shd w:val="clear" w:color="auto" w:fill="auto"/>
            <w:vAlign w:val="center"/>
            <w:hideMark/>
          </w:tcPr>
          <w:p w14:paraId="73E27195" w14:textId="77777777" w:rsidR="00315701" w:rsidRPr="002C5E27" w:rsidRDefault="00315701" w:rsidP="00315701">
            <w:pPr>
              <w:jc w:val="right"/>
              <w:rPr>
                <w:color w:val="000000"/>
                <w:kern w:val="22"/>
                <w:szCs w:val="22"/>
                <w:lang w:val="fr-FR" w:eastAsia="en-CA"/>
              </w:rPr>
            </w:pPr>
            <w:r w:rsidRPr="002C5E27">
              <w:rPr>
                <w:color w:val="000000"/>
                <w:kern w:val="22"/>
                <w:szCs w:val="22"/>
                <w:lang w:val="fr-FR" w:eastAsia="en-CA"/>
              </w:rPr>
              <w:t>400.0</w:t>
            </w:r>
          </w:p>
        </w:tc>
        <w:tc>
          <w:tcPr>
            <w:tcW w:w="1620" w:type="dxa"/>
            <w:tcBorders>
              <w:top w:val="nil"/>
              <w:left w:val="nil"/>
              <w:bottom w:val="single" w:sz="4" w:space="0" w:color="auto"/>
              <w:right w:val="single" w:sz="4" w:space="0" w:color="auto"/>
            </w:tcBorders>
            <w:shd w:val="clear" w:color="auto" w:fill="auto"/>
            <w:vAlign w:val="center"/>
            <w:hideMark/>
          </w:tcPr>
          <w:p w14:paraId="512C46CE" w14:textId="77777777" w:rsidR="00315701" w:rsidRPr="002C5E27" w:rsidRDefault="00315701" w:rsidP="00315701">
            <w:pPr>
              <w:jc w:val="right"/>
              <w:rPr>
                <w:color w:val="000000"/>
                <w:kern w:val="22"/>
                <w:szCs w:val="22"/>
                <w:lang w:val="fr-FR" w:eastAsia="en-CA"/>
              </w:rPr>
            </w:pPr>
            <w:r w:rsidRPr="002C5E27">
              <w:rPr>
                <w:color w:val="000000"/>
                <w:kern w:val="22"/>
                <w:szCs w:val="22"/>
                <w:lang w:val="fr-FR" w:eastAsia="en-CA"/>
              </w:rPr>
              <w:t>400.0</w:t>
            </w:r>
          </w:p>
        </w:tc>
        <w:tc>
          <w:tcPr>
            <w:tcW w:w="1350" w:type="dxa"/>
            <w:tcBorders>
              <w:top w:val="nil"/>
              <w:left w:val="nil"/>
              <w:bottom w:val="single" w:sz="4" w:space="0" w:color="auto"/>
              <w:right w:val="single" w:sz="4" w:space="0" w:color="auto"/>
            </w:tcBorders>
            <w:shd w:val="clear" w:color="auto" w:fill="auto"/>
            <w:vAlign w:val="center"/>
            <w:hideMark/>
          </w:tcPr>
          <w:p w14:paraId="2AA53969" w14:textId="77777777" w:rsidR="00315701" w:rsidRPr="002C5E27" w:rsidRDefault="00315701" w:rsidP="00315701">
            <w:pPr>
              <w:jc w:val="right"/>
              <w:rPr>
                <w:color w:val="000000"/>
                <w:kern w:val="22"/>
                <w:szCs w:val="22"/>
                <w:lang w:val="fr-FR" w:eastAsia="en-CA"/>
              </w:rPr>
            </w:pPr>
            <w:r w:rsidRPr="002C5E27">
              <w:rPr>
                <w:color w:val="000000"/>
                <w:kern w:val="22"/>
                <w:szCs w:val="22"/>
                <w:lang w:val="fr-FR" w:eastAsia="en-CA"/>
              </w:rPr>
              <w:t>0.0</w:t>
            </w:r>
          </w:p>
        </w:tc>
        <w:tc>
          <w:tcPr>
            <w:tcW w:w="900" w:type="dxa"/>
            <w:tcBorders>
              <w:top w:val="nil"/>
              <w:left w:val="nil"/>
              <w:bottom w:val="single" w:sz="4" w:space="0" w:color="auto"/>
              <w:right w:val="single" w:sz="4" w:space="0" w:color="auto"/>
            </w:tcBorders>
            <w:shd w:val="clear" w:color="auto" w:fill="auto"/>
            <w:vAlign w:val="center"/>
            <w:hideMark/>
          </w:tcPr>
          <w:p w14:paraId="1F982C31" w14:textId="77777777" w:rsidR="00315701" w:rsidRPr="002C5E27" w:rsidRDefault="00315701" w:rsidP="00315701">
            <w:pPr>
              <w:jc w:val="center"/>
              <w:rPr>
                <w:color w:val="000000"/>
                <w:kern w:val="22"/>
                <w:szCs w:val="22"/>
                <w:lang w:val="fr-FR" w:eastAsia="en-CA"/>
              </w:rPr>
            </w:pPr>
            <w:r w:rsidRPr="002C5E27">
              <w:rPr>
                <w:color w:val="000000"/>
                <w:kern w:val="22"/>
                <w:szCs w:val="22"/>
                <w:lang w:val="fr-FR" w:eastAsia="en-CA"/>
              </w:rPr>
              <w:t> </w:t>
            </w:r>
          </w:p>
        </w:tc>
      </w:tr>
      <w:tr w:rsidR="00315701" w:rsidRPr="002C5E27" w14:paraId="486778AF" w14:textId="77777777" w:rsidTr="002C5E27">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66BB77AB" w14:textId="25E56315" w:rsidR="00315701" w:rsidRPr="002C5E27" w:rsidRDefault="00315701" w:rsidP="00315701">
            <w:pPr>
              <w:rPr>
                <w:color w:val="000000"/>
                <w:kern w:val="22"/>
                <w:szCs w:val="22"/>
                <w:lang w:val="fr-FR" w:eastAsia="en-CA"/>
              </w:rPr>
            </w:pPr>
            <w:r w:rsidRPr="002C5E27">
              <w:rPr>
                <w:color w:val="000000"/>
                <w:kern w:val="22"/>
                <w:szCs w:val="22"/>
                <w:lang w:val="fr-FR" w:eastAsia="en-CA"/>
              </w:rPr>
              <w:t xml:space="preserve">D. </w:t>
            </w:r>
            <w:r w:rsidR="00516B1C" w:rsidRPr="002C5E27">
              <w:rPr>
                <w:color w:val="000000"/>
                <w:kern w:val="22"/>
                <w:szCs w:val="22"/>
                <w:lang w:val="fr-FR" w:eastAsia="en-CA"/>
              </w:rPr>
              <w:t>Consultants/sous-traitants</w:t>
            </w:r>
          </w:p>
        </w:tc>
        <w:tc>
          <w:tcPr>
            <w:tcW w:w="1260" w:type="dxa"/>
            <w:tcBorders>
              <w:top w:val="nil"/>
              <w:left w:val="nil"/>
              <w:bottom w:val="single" w:sz="4" w:space="0" w:color="auto"/>
              <w:right w:val="single" w:sz="4" w:space="0" w:color="auto"/>
            </w:tcBorders>
            <w:shd w:val="clear" w:color="auto" w:fill="auto"/>
            <w:vAlign w:val="center"/>
            <w:hideMark/>
          </w:tcPr>
          <w:p w14:paraId="40EACF2F" w14:textId="77777777" w:rsidR="00315701" w:rsidRPr="002C5E27" w:rsidRDefault="00315701" w:rsidP="00315701">
            <w:pPr>
              <w:jc w:val="right"/>
              <w:rPr>
                <w:color w:val="000000"/>
                <w:kern w:val="22"/>
                <w:szCs w:val="22"/>
                <w:lang w:val="fr-FR" w:eastAsia="en-CA"/>
              </w:rPr>
            </w:pPr>
            <w:r w:rsidRPr="002C5E27">
              <w:rPr>
                <w:color w:val="000000"/>
                <w:kern w:val="22"/>
                <w:szCs w:val="22"/>
                <w:lang w:val="fr-FR" w:eastAsia="en-CA"/>
              </w:rPr>
              <w:t>50.0</w:t>
            </w:r>
          </w:p>
        </w:tc>
        <w:tc>
          <w:tcPr>
            <w:tcW w:w="1620" w:type="dxa"/>
            <w:tcBorders>
              <w:top w:val="nil"/>
              <w:left w:val="nil"/>
              <w:bottom w:val="single" w:sz="4" w:space="0" w:color="auto"/>
              <w:right w:val="single" w:sz="4" w:space="0" w:color="auto"/>
            </w:tcBorders>
            <w:shd w:val="clear" w:color="auto" w:fill="auto"/>
            <w:vAlign w:val="center"/>
            <w:hideMark/>
          </w:tcPr>
          <w:p w14:paraId="0B1B25C7" w14:textId="77777777" w:rsidR="00315701" w:rsidRPr="002C5E27" w:rsidRDefault="00315701" w:rsidP="00315701">
            <w:pPr>
              <w:jc w:val="right"/>
              <w:rPr>
                <w:color w:val="000000"/>
                <w:kern w:val="22"/>
                <w:szCs w:val="22"/>
                <w:lang w:val="fr-FR" w:eastAsia="en-CA"/>
              </w:rPr>
            </w:pPr>
            <w:r w:rsidRPr="002C5E27">
              <w:rPr>
                <w:color w:val="000000"/>
                <w:kern w:val="22"/>
                <w:szCs w:val="22"/>
                <w:lang w:val="fr-FR" w:eastAsia="en-CA"/>
              </w:rPr>
              <w:t>50.0</w:t>
            </w:r>
          </w:p>
        </w:tc>
        <w:tc>
          <w:tcPr>
            <w:tcW w:w="1350" w:type="dxa"/>
            <w:tcBorders>
              <w:top w:val="nil"/>
              <w:left w:val="nil"/>
              <w:bottom w:val="single" w:sz="4" w:space="0" w:color="auto"/>
              <w:right w:val="single" w:sz="4" w:space="0" w:color="auto"/>
            </w:tcBorders>
            <w:shd w:val="clear" w:color="auto" w:fill="auto"/>
            <w:vAlign w:val="center"/>
            <w:hideMark/>
          </w:tcPr>
          <w:p w14:paraId="2B8505C2" w14:textId="77777777" w:rsidR="00315701" w:rsidRPr="002C5E27" w:rsidRDefault="00315701" w:rsidP="00315701">
            <w:pPr>
              <w:jc w:val="right"/>
              <w:rPr>
                <w:color w:val="000000"/>
                <w:kern w:val="22"/>
                <w:szCs w:val="22"/>
                <w:lang w:val="fr-FR" w:eastAsia="en-CA"/>
              </w:rPr>
            </w:pPr>
            <w:r w:rsidRPr="002C5E27">
              <w:rPr>
                <w:color w:val="000000"/>
                <w:kern w:val="22"/>
                <w:szCs w:val="22"/>
                <w:lang w:val="fr-FR" w:eastAsia="en-CA"/>
              </w:rPr>
              <w:t>0.0</w:t>
            </w:r>
          </w:p>
        </w:tc>
        <w:tc>
          <w:tcPr>
            <w:tcW w:w="900" w:type="dxa"/>
            <w:tcBorders>
              <w:top w:val="nil"/>
              <w:left w:val="nil"/>
              <w:bottom w:val="single" w:sz="4" w:space="0" w:color="auto"/>
              <w:right w:val="single" w:sz="4" w:space="0" w:color="auto"/>
            </w:tcBorders>
            <w:shd w:val="clear" w:color="auto" w:fill="auto"/>
            <w:vAlign w:val="center"/>
            <w:hideMark/>
          </w:tcPr>
          <w:p w14:paraId="293A9B60" w14:textId="77777777" w:rsidR="00315701" w:rsidRPr="002C5E27" w:rsidRDefault="00315701" w:rsidP="00315701">
            <w:pPr>
              <w:jc w:val="center"/>
              <w:rPr>
                <w:color w:val="000000"/>
                <w:kern w:val="22"/>
                <w:szCs w:val="22"/>
                <w:lang w:val="fr-FR" w:eastAsia="en-CA"/>
              </w:rPr>
            </w:pPr>
            <w:r w:rsidRPr="002C5E27">
              <w:rPr>
                <w:color w:val="000000"/>
                <w:kern w:val="22"/>
                <w:szCs w:val="22"/>
                <w:lang w:val="fr-FR" w:eastAsia="en-CA"/>
              </w:rPr>
              <w:t> </w:t>
            </w:r>
          </w:p>
        </w:tc>
      </w:tr>
      <w:tr w:rsidR="00315701" w:rsidRPr="002C5E27" w14:paraId="2AF0B5E3" w14:textId="77777777" w:rsidTr="002C5E27">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448D9E00" w14:textId="53BC771A" w:rsidR="00315701" w:rsidRPr="002C5E27" w:rsidRDefault="00315701" w:rsidP="00315701">
            <w:pPr>
              <w:rPr>
                <w:color w:val="000000"/>
                <w:kern w:val="22"/>
                <w:szCs w:val="22"/>
                <w:lang w:val="fr-FR" w:eastAsia="en-CA"/>
              </w:rPr>
            </w:pPr>
            <w:r w:rsidRPr="002C5E27">
              <w:rPr>
                <w:color w:val="000000"/>
                <w:kern w:val="22"/>
                <w:szCs w:val="22"/>
                <w:lang w:val="fr-FR" w:eastAsia="en-CA"/>
              </w:rPr>
              <w:t>E.</w:t>
            </w:r>
            <w:r w:rsidR="00516B1C" w:rsidRPr="002C5E27">
              <w:rPr>
                <w:color w:val="000000"/>
                <w:kern w:val="22"/>
                <w:szCs w:val="22"/>
                <w:lang w:val="fr-FR" w:eastAsia="en-CA"/>
              </w:rPr>
              <w:t xml:space="preserve"> </w:t>
            </w:r>
            <w:r w:rsidR="00516B1C" w:rsidRPr="002C5E27">
              <w:rPr>
                <w:color w:val="000000" w:themeColor="text1"/>
                <w:kern w:val="22"/>
                <w:szCs w:val="22"/>
                <w:lang w:val="fr-FR" w:eastAsia="en-CA"/>
              </w:rPr>
              <w:t>Matériel de sensibilisation du public/communications</w:t>
            </w:r>
          </w:p>
        </w:tc>
        <w:tc>
          <w:tcPr>
            <w:tcW w:w="1260" w:type="dxa"/>
            <w:tcBorders>
              <w:top w:val="nil"/>
              <w:left w:val="nil"/>
              <w:bottom w:val="single" w:sz="4" w:space="0" w:color="auto"/>
              <w:right w:val="single" w:sz="4" w:space="0" w:color="auto"/>
            </w:tcBorders>
            <w:shd w:val="clear" w:color="auto" w:fill="auto"/>
            <w:vAlign w:val="center"/>
            <w:hideMark/>
          </w:tcPr>
          <w:p w14:paraId="07F34A55" w14:textId="77777777" w:rsidR="00315701" w:rsidRPr="002C5E27" w:rsidRDefault="00315701" w:rsidP="00315701">
            <w:pPr>
              <w:jc w:val="right"/>
              <w:rPr>
                <w:color w:val="000000"/>
                <w:kern w:val="22"/>
                <w:szCs w:val="22"/>
                <w:lang w:val="fr-FR" w:eastAsia="en-CA"/>
              </w:rPr>
            </w:pPr>
            <w:r w:rsidRPr="002C5E27">
              <w:rPr>
                <w:color w:val="000000"/>
                <w:kern w:val="22"/>
                <w:szCs w:val="22"/>
                <w:lang w:val="fr-FR" w:eastAsia="en-CA"/>
              </w:rPr>
              <w:t>50.0</w:t>
            </w:r>
          </w:p>
        </w:tc>
        <w:tc>
          <w:tcPr>
            <w:tcW w:w="1620" w:type="dxa"/>
            <w:tcBorders>
              <w:top w:val="nil"/>
              <w:left w:val="nil"/>
              <w:bottom w:val="single" w:sz="4" w:space="0" w:color="auto"/>
              <w:right w:val="single" w:sz="4" w:space="0" w:color="auto"/>
            </w:tcBorders>
            <w:shd w:val="clear" w:color="auto" w:fill="auto"/>
            <w:vAlign w:val="center"/>
            <w:hideMark/>
          </w:tcPr>
          <w:p w14:paraId="1B775AAD" w14:textId="77777777" w:rsidR="00315701" w:rsidRPr="002C5E27" w:rsidRDefault="00315701" w:rsidP="00315701">
            <w:pPr>
              <w:jc w:val="right"/>
              <w:rPr>
                <w:color w:val="000000"/>
                <w:kern w:val="22"/>
                <w:szCs w:val="22"/>
                <w:lang w:val="fr-FR" w:eastAsia="en-CA"/>
              </w:rPr>
            </w:pPr>
            <w:r w:rsidRPr="002C5E27">
              <w:rPr>
                <w:color w:val="000000"/>
                <w:kern w:val="22"/>
                <w:szCs w:val="22"/>
                <w:lang w:val="fr-FR" w:eastAsia="en-CA"/>
              </w:rPr>
              <w:t>50.0</w:t>
            </w:r>
          </w:p>
        </w:tc>
        <w:tc>
          <w:tcPr>
            <w:tcW w:w="1350" w:type="dxa"/>
            <w:tcBorders>
              <w:top w:val="nil"/>
              <w:left w:val="nil"/>
              <w:bottom w:val="single" w:sz="4" w:space="0" w:color="auto"/>
              <w:right w:val="single" w:sz="4" w:space="0" w:color="auto"/>
            </w:tcBorders>
            <w:shd w:val="clear" w:color="auto" w:fill="auto"/>
            <w:vAlign w:val="center"/>
            <w:hideMark/>
          </w:tcPr>
          <w:p w14:paraId="4CDE5060" w14:textId="77777777" w:rsidR="00315701" w:rsidRPr="002C5E27" w:rsidRDefault="00315701" w:rsidP="00315701">
            <w:pPr>
              <w:jc w:val="right"/>
              <w:rPr>
                <w:color w:val="000000"/>
                <w:kern w:val="22"/>
                <w:szCs w:val="22"/>
                <w:lang w:val="fr-FR" w:eastAsia="en-CA"/>
              </w:rPr>
            </w:pPr>
            <w:r w:rsidRPr="002C5E27">
              <w:rPr>
                <w:color w:val="000000"/>
                <w:kern w:val="22"/>
                <w:szCs w:val="22"/>
                <w:lang w:val="fr-FR" w:eastAsia="en-CA"/>
              </w:rPr>
              <w:t>0.0</w:t>
            </w:r>
          </w:p>
        </w:tc>
        <w:tc>
          <w:tcPr>
            <w:tcW w:w="900" w:type="dxa"/>
            <w:tcBorders>
              <w:top w:val="nil"/>
              <w:left w:val="nil"/>
              <w:bottom w:val="single" w:sz="4" w:space="0" w:color="auto"/>
              <w:right w:val="single" w:sz="4" w:space="0" w:color="auto"/>
            </w:tcBorders>
            <w:shd w:val="clear" w:color="auto" w:fill="auto"/>
            <w:vAlign w:val="center"/>
            <w:hideMark/>
          </w:tcPr>
          <w:p w14:paraId="07BE4F31" w14:textId="77777777" w:rsidR="00315701" w:rsidRPr="002C5E27" w:rsidRDefault="00315701" w:rsidP="00315701">
            <w:pPr>
              <w:jc w:val="center"/>
              <w:rPr>
                <w:color w:val="000000"/>
                <w:kern w:val="22"/>
                <w:szCs w:val="22"/>
                <w:lang w:val="fr-FR" w:eastAsia="en-CA"/>
              </w:rPr>
            </w:pPr>
            <w:r w:rsidRPr="002C5E27">
              <w:rPr>
                <w:color w:val="000000"/>
                <w:kern w:val="22"/>
                <w:szCs w:val="22"/>
                <w:lang w:val="fr-FR" w:eastAsia="en-CA"/>
              </w:rPr>
              <w:t> </w:t>
            </w:r>
          </w:p>
        </w:tc>
      </w:tr>
      <w:tr w:rsidR="00315701" w:rsidRPr="002C5E27" w14:paraId="110A8C16" w14:textId="77777777" w:rsidTr="002C5E27">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6F7E89F2" w14:textId="0BAE6327" w:rsidR="00315701" w:rsidRPr="002C5E27" w:rsidRDefault="00315701" w:rsidP="00315701">
            <w:pPr>
              <w:rPr>
                <w:color w:val="000000"/>
                <w:kern w:val="22"/>
                <w:szCs w:val="22"/>
                <w:lang w:val="fr-FR" w:eastAsia="en-CA"/>
              </w:rPr>
            </w:pPr>
            <w:r w:rsidRPr="002C5E27">
              <w:rPr>
                <w:color w:val="000000"/>
                <w:kern w:val="22"/>
                <w:szCs w:val="22"/>
                <w:lang w:val="fr-FR" w:eastAsia="en-CA"/>
              </w:rPr>
              <w:t xml:space="preserve">F. </w:t>
            </w:r>
            <w:r w:rsidR="00516B1C" w:rsidRPr="002C5E27">
              <w:rPr>
                <w:color w:val="000000"/>
                <w:kern w:val="22"/>
                <w:szCs w:val="22"/>
                <w:lang w:val="fr-FR" w:eastAsia="en-CA"/>
              </w:rPr>
              <w:t>Assistance temporaire/heures supplémentaires</w:t>
            </w:r>
          </w:p>
        </w:tc>
        <w:tc>
          <w:tcPr>
            <w:tcW w:w="1260" w:type="dxa"/>
            <w:tcBorders>
              <w:top w:val="nil"/>
              <w:left w:val="nil"/>
              <w:bottom w:val="single" w:sz="4" w:space="0" w:color="auto"/>
              <w:right w:val="single" w:sz="4" w:space="0" w:color="auto"/>
            </w:tcBorders>
            <w:shd w:val="clear" w:color="auto" w:fill="auto"/>
            <w:vAlign w:val="center"/>
            <w:hideMark/>
          </w:tcPr>
          <w:p w14:paraId="647F09DD" w14:textId="77777777" w:rsidR="00315701" w:rsidRPr="002C5E27" w:rsidRDefault="00315701" w:rsidP="00315701">
            <w:pPr>
              <w:jc w:val="right"/>
              <w:rPr>
                <w:color w:val="000000"/>
                <w:kern w:val="22"/>
                <w:szCs w:val="22"/>
                <w:lang w:val="fr-FR" w:eastAsia="en-CA"/>
              </w:rPr>
            </w:pPr>
            <w:r w:rsidRPr="002C5E27">
              <w:rPr>
                <w:color w:val="000000"/>
                <w:kern w:val="22"/>
                <w:szCs w:val="22"/>
                <w:lang w:val="fr-FR" w:eastAsia="en-CA"/>
              </w:rPr>
              <w:t>100.0</w:t>
            </w:r>
          </w:p>
        </w:tc>
        <w:tc>
          <w:tcPr>
            <w:tcW w:w="1620" w:type="dxa"/>
            <w:tcBorders>
              <w:top w:val="nil"/>
              <w:left w:val="nil"/>
              <w:bottom w:val="single" w:sz="4" w:space="0" w:color="auto"/>
              <w:right w:val="single" w:sz="4" w:space="0" w:color="auto"/>
            </w:tcBorders>
            <w:shd w:val="clear" w:color="auto" w:fill="auto"/>
            <w:vAlign w:val="center"/>
            <w:hideMark/>
          </w:tcPr>
          <w:p w14:paraId="78AA5459" w14:textId="77777777" w:rsidR="00315701" w:rsidRPr="002C5E27" w:rsidRDefault="00315701" w:rsidP="00315701">
            <w:pPr>
              <w:jc w:val="right"/>
              <w:rPr>
                <w:color w:val="000000"/>
                <w:kern w:val="22"/>
                <w:szCs w:val="22"/>
                <w:lang w:val="fr-FR" w:eastAsia="en-CA"/>
              </w:rPr>
            </w:pPr>
            <w:r w:rsidRPr="002C5E27">
              <w:rPr>
                <w:color w:val="000000"/>
                <w:kern w:val="22"/>
                <w:szCs w:val="22"/>
                <w:lang w:val="fr-FR" w:eastAsia="en-CA"/>
              </w:rPr>
              <w:t>100.0</w:t>
            </w:r>
          </w:p>
        </w:tc>
        <w:tc>
          <w:tcPr>
            <w:tcW w:w="1350" w:type="dxa"/>
            <w:tcBorders>
              <w:top w:val="nil"/>
              <w:left w:val="nil"/>
              <w:bottom w:val="single" w:sz="4" w:space="0" w:color="auto"/>
              <w:right w:val="single" w:sz="4" w:space="0" w:color="auto"/>
            </w:tcBorders>
            <w:shd w:val="clear" w:color="auto" w:fill="auto"/>
            <w:vAlign w:val="center"/>
            <w:hideMark/>
          </w:tcPr>
          <w:p w14:paraId="3972DE35" w14:textId="77777777" w:rsidR="00315701" w:rsidRPr="002C5E27" w:rsidRDefault="00315701" w:rsidP="00315701">
            <w:pPr>
              <w:jc w:val="right"/>
              <w:rPr>
                <w:color w:val="000000"/>
                <w:kern w:val="22"/>
                <w:szCs w:val="22"/>
                <w:lang w:val="fr-FR" w:eastAsia="en-CA"/>
              </w:rPr>
            </w:pPr>
            <w:r w:rsidRPr="002C5E27">
              <w:rPr>
                <w:color w:val="000000"/>
                <w:kern w:val="22"/>
                <w:szCs w:val="22"/>
                <w:lang w:val="fr-FR" w:eastAsia="en-CA"/>
              </w:rPr>
              <w:t>0.0</w:t>
            </w:r>
          </w:p>
        </w:tc>
        <w:tc>
          <w:tcPr>
            <w:tcW w:w="900" w:type="dxa"/>
            <w:tcBorders>
              <w:top w:val="nil"/>
              <w:left w:val="nil"/>
              <w:bottom w:val="single" w:sz="4" w:space="0" w:color="auto"/>
              <w:right w:val="single" w:sz="4" w:space="0" w:color="auto"/>
            </w:tcBorders>
            <w:shd w:val="clear" w:color="auto" w:fill="auto"/>
            <w:vAlign w:val="center"/>
            <w:hideMark/>
          </w:tcPr>
          <w:p w14:paraId="06C3651C" w14:textId="77777777" w:rsidR="00315701" w:rsidRPr="002C5E27" w:rsidRDefault="00315701" w:rsidP="00315701">
            <w:pPr>
              <w:jc w:val="center"/>
              <w:rPr>
                <w:color w:val="000000"/>
                <w:kern w:val="22"/>
                <w:szCs w:val="22"/>
                <w:lang w:val="fr-FR" w:eastAsia="en-CA"/>
              </w:rPr>
            </w:pPr>
            <w:r w:rsidRPr="002C5E27">
              <w:rPr>
                <w:color w:val="000000"/>
                <w:kern w:val="22"/>
                <w:szCs w:val="22"/>
                <w:lang w:val="fr-FR" w:eastAsia="en-CA"/>
              </w:rPr>
              <w:t> </w:t>
            </w:r>
          </w:p>
        </w:tc>
      </w:tr>
      <w:tr w:rsidR="00315701" w:rsidRPr="002C5E27" w14:paraId="20593292" w14:textId="77777777" w:rsidTr="002C5E27">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5CACE236" w14:textId="0061A5EF" w:rsidR="00315701" w:rsidRPr="002C5E27" w:rsidRDefault="00315701" w:rsidP="00315701">
            <w:pPr>
              <w:rPr>
                <w:color w:val="000000"/>
                <w:kern w:val="22"/>
                <w:szCs w:val="22"/>
                <w:lang w:val="fr-FR" w:eastAsia="en-CA"/>
              </w:rPr>
            </w:pPr>
            <w:r w:rsidRPr="002C5E27">
              <w:rPr>
                <w:color w:val="000000"/>
                <w:kern w:val="22"/>
                <w:szCs w:val="22"/>
                <w:lang w:val="fr-FR" w:eastAsia="en-CA"/>
              </w:rPr>
              <w:t>G.</w:t>
            </w:r>
            <w:r w:rsidR="006F4029" w:rsidRPr="002C5E27">
              <w:rPr>
                <w:color w:val="000000"/>
                <w:kern w:val="22"/>
                <w:szCs w:val="22"/>
                <w:lang w:val="fr-FR" w:eastAsia="en-CA"/>
              </w:rPr>
              <w:t xml:space="preserve"> Formation</w:t>
            </w:r>
          </w:p>
        </w:tc>
        <w:tc>
          <w:tcPr>
            <w:tcW w:w="1260" w:type="dxa"/>
            <w:tcBorders>
              <w:top w:val="nil"/>
              <w:left w:val="nil"/>
              <w:bottom w:val="single" w:sz="4" w:space="0" w:color="auto"/>
              <w:right w:val="single" w:sz="4" w:space="0" w:color="auto"/>
            </w:tcBorders>
            <w:shd w:val="clear" w:color="auto" w:fill="auto"/>
            <w:vAlign w:val="center"/>
            <w:hideMark/>
          </w:tcPr>
          <w:p w14:paraId="6F6F10A0" w14:textId="77777777" w:rsidR="00315701" w:rsidRPr="002C5E27" w:rsidRDefault="00315701" w:rsidP="00315701">
            <w:pPr>
              <w:jc w:val="right"/>
              <w:rPr>
                <w:color w:val="000000"/>
                <w:kern w:val="22"/>
                <w:szCs w:val="22"/>
                <w:lang w:val="fr-FR" w:eastAsia="en-CA"/>
              </w:rPr>
            </w:pPr>
            <w:r w:rsidRPr="002C5E27">
              <w:rPr>
                <w:color w:val="000000"/>
                <w:kern w:val="22"/>
                <w:szCs w:val="22"/>
                <w:lang w:val="fr-FR" w:eastAsia="en-CA"/>
              </w:rPr>
              <w:t>5.0</w:t>
            </w:r>
          </w:p>
        </w:tc>
        <w:tc>
          <w:tcPr>
            <w:tcW w:w="1620" w:type="dxa"/>
            <w:tcBorders>
              <w:top w:val="nil"/>
              <w:left w:val="nil"/>
              <w:bottom w:val="single" w:sz="4" w:space="0" w:color="auto"/>
              <w:right w:val="single" w:sz="4" w:space="0" w:color="auto"/>
            </w:tcBorders>
            <w:shd w:val="clear" w:color="auto" w:fill="auto"/>
            <w:vAlign w:val="center"/>
            <w:hideMark/>
          </w:tcPr>
          <w:p w14:paraId="12DDB041" w14:textId="77777777" w:rsidR="00315701" w:rsidRPr="002C5E27" w:rsidRDefault="00315701" w:rsidP="00315701">
            <w:pPr>
              <w:jc w:val="right"/>
              <w:rPr>
                <w:color w:val="000000"/>
                <w:kern w:val="22"/>
                <w:szCs w:val="22"/>
                <w:lang w:val="fr-FR" w:eastAsia="en-CA"/>
              </w:rPr>
            </w:pPr>
            <w:r w:rsidRPr="002C5E27">
              <w:rPr>
                <w:color w:val="000000"/>
                <w:kern w:val="22"/>
                <w:szCs w:val="22"/>
                <w:lang w:val="fr-FR" w:eastAsia="en-CA"/>
              </w:rPr>
              <w:t>5.0</w:t>
            </w:r>
          </w:p>
        </w:tc>
        <w:tc>
          <w:tcPr>
            <w:tcW w:w="1350" w:type="dxa"/>
            <w:tcBorders>
              <w:top w:val="nil"/>
              <w:left w:val="nil"/>
              <w:bottom w:val="single" w:sz="4" w:space="0" w:color="auto"/>
              <w:right w:val="single" w:sz="4" w:space="0" w:color="auto"/>
            </w:tcBorders>
            <w:shd w:val="clear" w:color="auto" w:fill="auto"/>
            <w:vAlign w:val="center"/>
            <w:hideMark/>
          </w:tcPr>
          <w:p w14:paraId="5DBF7744" w14:textId="77777777" w:rsidR="00315701" w:rsidRPr="002C5E27" w:rsidRDefault="00315701" w:rsidP="00315701">
            <w:pPr>
              <w:jc w:val="right"/>
              <w:rPr>
                <w:color w:val="000000"/>
                <w:kern w:val="22"/>
                <w:szCs w:val="22"/>
                <w:lang w:val="fr-FR" w:eastAsia="en-CA"/>
              </w:rPr>
            </w:pPr>
            <w:r w:rsidRPr="002C5E27">
              <w:rPr>
                <w:color w:val="000000"/>
                <w:kern w:val="22"/>
                <w:szCs w:val="22"/>
                <w:lang w:val="fr-FR" w:eastAsia="en-CA"/>
              </w:rPr>
              <w:t>0.0</w:t>
            </w:r>
          </w:p>
        </w:tc>
        <w:tc>
          <w:tcPr>
            <w:tcW w:w="900" w:type="dxa"/>
            <w:tcBorders>
              <w:top w:val="nil"/>
              <w:left w:val="nil"/>
              <w:bottom w:val="single" w:sz="4" w:space="0" w:color="auto"/>
              <w:right w:val="single" w:sz="4" w:space="0" w:color="auto"/>
            </w:tcBorders>
            <w:shd w:val="clear" w:color="auto" w:fill="auto"/>
            <w:vAlign w:val="center"/>
            <w:hideMark/>
          </w:tcPr>
          <w:p w14:paraId="154F5AC0" w14:textId="77777777" w:rsidR="00315701" w:rsidRPr="002C5E27" w:rsidRDefault="00315701" w:rsidP="00315701">
            <w:pPr>
              <w:jc w:val="center"/>
              <w:rPr>
                <w:color w:val="000000"/>
                <w:kern w:val="22"/>
                <w:szCs w:val="22"/>
                <w:lang w:val="fr-FR" w:eastAsia="en-CA"/>
              </w:rPr>
            </w:pPr>
            <w:r w:rsidRPr="002C5E27">
              <w:rPr>
                <w:color w:val="000000"/>
                <w:kern w:val="22"/>
                <w:szCs w:val="22"/>
                <w:lang w:val="fr-FR" w:eastAsia="en-CA"/>
              </w:rPr>
              <w:t> </w:t>
            </w:r>
          </w:p>
        </w:tc>
      </w:tr>
      <w:tr w:rsidR="00315701" w:rsidRPr="002C5E27" w14:paraId="12BAF00D" w14:textId="77777777" w:rsidTr="002C5E27">
        <w:trPr>
          <w:trHeight w:val="48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18F5D512" w14:textId="62E8F96E" w:rsidR="00315701" w:rsidRPr="002C5E27" w:rsidRDefault="00315701" w:rsidP="00315701">
            <w:pPr>
              <w:rPr>
                <w:color w:val="000000"/>
                <w:kern w:val="22"/>
                <w:szCs w:val="22"/>
                <w:lang w:val="fr-FR" w:eastAsia="en-CA"/>
              </w:rPr>
            </w:pPr>
            <w:r w:rsidRPr="002C5E27">
              <w:rPr>
                <w:color w:val="000000"/>
                <w:kern w:val="22"/>
                <w:szCs w:val="22"/>
                <w:lang w:val="fr-FR" w:eastAsia="en-CA"/>
              </w:rPr>
              <w:t xml:space="preserve">H. </w:t>
            </w:r>
            <w:r w:rsidR="00516B1C" w:rsidRPr="002C5E27">
              <w:rPr>
                <w:color w:val="000000"/>
                <w:kern w:val="22"/>
                <w:szCs w:val="22"/>
                <w:lang w:val="fr-FR" w:eastAsia="en-CA"/>
              </w:rPr>
              <w:t>Tr</w:t>
            </w:r>
            <w:r w:rsidR="00516B1C" w:rsidRPr="002C5E27">
              <w:rPr>
                <w:color w:val="000000" w:themeColor="text1"/>
                <w:kern w:val="22"/>
                <w:szCs w:val="22"/>
                <w:lang w:val="fr-FR" w:eastAsia="en-CA"/>
              </w:rPr>
              <w:t xml:space="preserve">aduction du </w:t>
            </w:r>
            <w:r w:rsidR="006F4029" w:rsidRPr="002C5E27">
              <w:rPr>
                <w:color w:val="000000" w:themeColor="text1"/>
                <w:kern w:val="22"/>
                <w:szCs w:val="22"/>
                <w:lang w:val="fr-FR" w:eastAsia="en-CA"/>
              </w:rPr>
              <w:t>site internet du Centre d’échange</w:t>
            </w:r>
            <w:r w:rsidR="000A5F84" w:rsidRPr="002C5E27">
              <w:rPr>
                <w:color w:val="000000" w:themeColor="text1"/>
                <w:kern w:val="22"/>
                <w:szCs w:val="22"/>
                <w:lang w:val="fr-FR" w:eastAsia="en-CA"/>
              </w:rPr>
              <w:t>/projets du site Internet</w:t>
            </w:r>
          </w:p>
        </w:tc>
        <w:tc>
          <w:tcPr>
            <w:tcW w:w="1260" w:type="dxa"/>
            <w:tcBorders>
              <w:top w:val="nil"/>
              <w:left w:val="nil"/>
              <w:bottom w:val="single" w:sz="4" w:space="0" w:color="auto"/>
              <w:right w:val="single" w:sz="4" w:space="0" w:color="auto"/>
            </w:tcBorders>
            <w:shd w:val="clear" w:color="auto" w:fill="auto"/>
            <w:vAlign w:val="center"/>
            <w:hideMark/>
          </w:tcPr>
          <w:p w14:paraId="29FBD8B3" w14:textId="77777777" w:rsidR="00315701" w:rsidRPr="002C5E27" w:rsidRDefault="00315701" w:rsidP="00315701">
            <w:pPr>
              <w:jc w:val="right"/>
              <w:rPr>
                <w:color w:val="000000"/>
                <w:kern w:val="22"/>
                <w:szCs w:val="22"/>
                <w:lang w:val="fr-FR" w:eastAsia="en-CA"/>
              </w:rPr>
            </w:pPr>
            <w:r w:rsidRPr="002C5E27">
              <w:rPr>
                <w:color w:val="000000"/>
                <w:kern w:val="22"/>
                <w:szCs w:val="22"/>
                <w:lang w:val="fr-FR" w:eastAsia="en-CA"/>
              </w:rPr>
              <w:t>65.0</w:t>
            </w:r>
          </w:p>
        </w:tc>
        <w:tc>
          <w:tcPr>
            <w:tcW w:w="1620" w:type="dxa"/>
            <w:tcBorders>
              <w:top w:val="nil"/>
              <w:left w:val="nil"/>
              <w:bottom w:val="single" w:sz="4" w:space="0" w:color="auto"/>
              <w:right w:val="single" w:sz="4" w:space="0" w:color="auto"/>
            </w:tcBorders>
            <w:shd w:val="clear" w:color="auto" w:fill="auto"/>
            <w:vAlign w:val="center"/>
            <w:hideMark/>
          </w:tcPr>
          <w:p w14:paraId="3DB5179B" w14:textId="77777777" w:rsidR="00315701" w:rsidRPr="002C5E27" w:rsidRDefault="00315701" w:rsidP="00315701">
            <w:pPr>
              <w:jc w:val="right"/>
              <w:rPr>
                <w:color w:val="000000"/>
                <w:kern w:val="22"/>
                <w:szCs w:val="22"/>
                <w:lang w:val="fr-FR" w:eastAsia="en-CA"/>
              </w:rPr>
            </w:pPr>
            <w:r w:rsidRPr="002C5E27">
              <w:rPr>
                <w:color w:val="000000"/>
                <w:kern w:val="22"/>
                <w:szCs w:val="22"/>
                <w:lang w:val="fr-FR" w:eastAsia="en-CA"/>
              </w:rPr>
              <w:t>65.0</w:t>
            </w:r>
          </w:p>
        </w:tc>
        <w:tc>
          <w:tcPr>
            <w:tcW w:w="1350" w:type="dxa"/>
            <w:tcBorders>
              <w:top w:val="nil"/>
              <w:left w:val="nil"/>
              <w:bottom w:val="single" w:sz="4" w:space="0" w:color="auto"/>
              <w:right w:val="single" w:sz="4" w:space="0" w:color="auto"/>
            </w:tcBorders>
            <w:shd w:val="clear" w:color="auto" w:fill="auto"/>
            <w:vAlign w:val="center"/>
            <w:hideMark/>
          </w:tcPr>
          <w:p w14:paraId="67576135" w14:textId="77777777" w:rsidR="00315701" w:rsidRPr="002C5E27" w:rsidRDefault="00315701" w:rsidP="00315701">
            <w:pPr>
              <w:jc w:val="right"/>
              <w:rPr>
                <w:color w:val="000000"/>
                <w:kern w:val="22"/>
                <w:szCs w:val="22"/>
                <w:lang w:val="fr-FR" w:eastAsia="en-CA"/>
              </w:rPr>
            </w:pPr>
            <w:r w:rsidRPr="002C5E27">
              <w:rPr>
                <w:color w:val="000000"/>
                <w:kern w:val="22"/>
                <w:szCs w:val="22"/>
                <w:lang w:val="fr-FR" w:eastAsia="en-CA"/>
              </w:rPr>
              <w:t>0.0</w:t>
            </w:r>
          </w:p>
        </w:tc>
        <w:tc>
          <w:tcPr>
            <w:tcW w:w="900" w:type="dxa"/>
            <w:tcBorders>
              <w:top w:val="nil"/>
              <w:left w:val="nil"/>
              <w:bottom w:val="single" w:sz="4" w:space="0" w:color="auto"/>
              <w:right w:val="single" w:sz="4" w:space="0" w:color="auto"/>
            </w:tcBorders>
            <w:shd w:val="clear" w:color="auto" w:fill="auto"/>
            <w:vAlign w:val="center"/>
            <w:hideMark/>
          </w:tcPr>
          <w:p w14:paraId="1E392E89" w14:textId="77777777" w:rsidR="00315701" w:rsidRPr="002C5E27" w:rsidRDefault="00315701" w:rsidP="00315701">
            <w:pPr>
              <w:jc w:val="center"/>
              <w:rPr>
                <w:color w:val="000000"/>
                <w:kern w:val="22"/>
                <w:szCs w:val="22"/>
                <w:lang w:val="fr-FR" w:eastAsia="en-CA"/>
              </w:rPr>
            </w:pPr>
            <w:r w:rsidRPr="002C5E27">
              <w:rPr>
                <w:color w:val="000000"/>
                <w:kern w:val="22"/>
                <w:szCs w:val="22"/>
                <w:lang w:val="fr-FR" w:eastAsia="en-CA"/>
              </w:rPr>
              <w:t> </w:t>
            </w:r>
          </w:p>
        </w:tc>
      </w:tr>
      <w:tr w:rsidR="00315701" w:rsidRPr="002C5E27" w14:paraId="3C86C4ED" w14:textId="77777777" w:rsidTr="002C5E27">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2897D1A1" w14:textId="39DF399A" w:rsidR="00315701" w:rsidRPr="002C5E27" w:rsidRDefault="00315701" w:rsidP="00315701">
            <w:pPr>
              <w:rPr>
                <w:color w:val="000000"/>
                <w:kern w:val="22"/>
                <w:szCs w:val="22"/>
                <w:lang w:val="fr-FR" w:eastAsia="en-CA"/>
              </w:rPr>
            </w:pPr>
            <w:r w:rsidRPr="002C5E27">
              <w:rPr>
                <w:color w:val="000000"/>
                <w:kern w:val="22"/>
                <w:szCs w:val="22"/>
                <w:lang w:val="fr-FR" w:eastAsia="en-CA"/>
              </w:rPr>
              <w:t xml:space="preserve">I. </w:t>
            </w:r>
            <w:r w:rsidR="00516B1C" w:rsidRPr="002C5E27">
              <w:rPr>
                <w:color w:val="000000"/>
                <w:kern w:val="22"/>
                <w:szCs w:val="22"/>
                <w:lang w:val="fr-FR" w:eastAsia="en-CA"/>
              </w:rPr>
              <w:t>Réunions</w:t>
            </w:r>
          </w:p>
        </w:tc>
        <w:tc>
          <w:tcPr>
            <w:tcW w:w="1260" w:type="dxa"/>
            <w:tcBorders>
              <w:top w:val="nil"/>
              <w:left w:val="nil"/>
              <w:bottom w:val="single" w:sz="4" w:space="0" w:color="auto"/>
              <w:right w:val="single" w:sz="4" w:space="0" w:color="auto"/>
            </w:tcBorders>
            <w:shd w:val="clear" w:color="auto" w:fill="auto"/>
            <w:vAlign w:val="center"/>
            <w:hideMark/>
          </w:tcPr>
          <w:p w14:paraId="6351DC16" w14:textId="77777777" w:rsidR="00315701" w:rsidRPr="002C5E27" w:rsidRDefault="00315701" w:rsidP="00315701">
            <w:pPr>
              <w:jc w:val="right"/>
              <w:rPr>
                <w:color w:val="000000"/>
                <w:kern w:val="22"/>
                <w:szCs w:val="22"/>
                <w:lang w:val="fr-FR" w:eastAsia="en-CA"/>
              </w:rPr>
            </w:pPr>
            <w:r w:rsidRPr="002C5E27">
              <w:rPr>
                <w:color w:val="000000"/>
                <w:kern w:val="22"/>
                <w:szCs w:val="22"/>
                <w:lang w:val="fr-FR" w:eastAsia="en-CA"/>
              </w:rPr>
              <w:t>2,119.0</w:t>
            </w:r>
          </w:p>
        </w:tc>
        <w:tc>
          <w:tcPr>
            <w:tcW w:w="1620" w:type="dxa"/>
            <w:tcBorders>
              <w:top w:val="nil"/>
              <w:left w:val="nil"/>
              <w:bottom w:val="single" w:sz="4" w:space="0" w:color="auto"/>
              <w:right w:val="single" w:sz="4" w:space="0" w:color="auto"/>
            </w:tcBorders>
            <w:shd w:val="clear" w:color="auto" w:fill="auto"/>
            <w:vAlign w:val="center"/>
            <w:hideMark/>
          </w:tcPr>
          <w:p w14:paraId="56752696" w14:textId="77777777" w:rsidR="00315701" w:rsidRPr="002C5E27" w:rsidRDefault="00315701" w:rsidP="00315701">
            <w:pPr>
              <w:jc w:val="right"/>
              <w:rPr>
                <w:color w:val="000000"/>
                <w:kern w:val="22"/>
                <w:szCs w:val="22"/>
                <w:lang w:val="fr-FR" w:eastAsia="en-CA"/>
              </w:rPr>
            </w:pPr>
            <w:r w:rsidRPr="002C5E27">
              <w:rPr>
                <w:color w:val="000000"/>
                <w:kern w:val="22"/>
                <w:szCs w:val="22"/>
                <w:lang w:val="fr-FR" w:eastAsia="en-CA"/>
              </w:rPr>
              <w:t>278.5</w:t>
            </w:r>
          </w:p>
        </w:tc>
        <w:tc>
          <w:tcPr>
            <w:tcW w:w="1350" w:type="dxa"/>
            <w:tcBorders>
              <w:top w:val="nil"/>
              <w:left w:val="nil"/>
              <w:bottom w:val="single" w:sz="4" w:space="0" w:color="auto"/>
              <w:right w:val="single" w:sz="4" w:space="0" w:color="auto"/>
            </w:tcBorders>
            <w:shd w:val="clear" w:color="auto" w:fill="auto"/>
            <w:vAlign w:val="center"/>
            <w:hideMark/>
          </w:tcPr>
          <w:p w14:paraId="6756263A" w14:textId="77777777" w:rsidR="00315701" w:rsidRPr="002C5E27" w:rsidRDefault="00315701" w:rsidP="00315701">
            <w:pPr>
              <w:jc w:val="right"/>
              <w:rPr>
                <w:color w:val="000000"/>
                <w:kern w:val="22"/>
                <w:szCs w:val="22"/>
                <w:lang w:val="fr-FR" w:eastAsia="en-CA"/>
              </w:rPr>
            </w:pPr>
            <w:r w:rsidRPr="002C5E27">
              <w:rPr>
                <w:color w:val="000000"/>
                <w:kern w:val="22"/>
                <w:szCs w:val="22"/>
                <w:lang w:val="fr-FR" w:eastAsia="en-CA"/>
              </w:rPr>
              <w:t>-1,840.5</w:t>
            </w:r>
          </w:p>
        </w:tc>
        <w:tc>
          <w:tcPr>
            <w:tcW w:w="900" w:type="dxa"/>
            <w:tcBorders>
              <w:top w:val="nil"/>
              <w:left w:val="nil"/>
              <w:bottom w:val="single" w:sz="4" w:space="0" w:color="auto"/>
              <w:right w:val="single" w:sz="4" w:space="0" w:color="auto"/>
            </w:tcBorders>
            <w:shd w:val="clear" w:color="auto" w:fill="auto"/>
            <w:vAlign w:val="center"/>
            <w:hideMark/>
          </w:tcPr>
          <w:p w14:paraId="6F0561D3" w14:textId="024FEFAD" w:rsidR="00315701" w:rsidRPr="002C5E27" w:rsidRDefault="00315701" w:rsidP="00315701">
            <w:pPr>
              <w:jc w:val="center"/>
              <w:rPr>
                <w:color w:val="000000"/>
                <w:kern w:val="22"/>
                <w:szCs w:val="22"/>
                <w:lang w:val="fr-FR" w:eastAsia="en-CA"/>
              </w:rPr>
            </w:pPr>
            <w:r w:rsidRPr="002C5E27">
              <w:rPr>
                <w:color w:val="000000"/>
                <w:kern w:val="22"/>
                <w:szCs w:val="22"/>
                <w:lang w:val="fr-FR" w:eastAsia="en-CA"/>
              </w:rPr>
              <w:t>3</w:t>
            </w:r>
          </w:p>
        </w:tc>
      </w:tr>
      <w:tr w:rsidR="00315701" w:rsidRPr="002C5E27" w14:paraId="7C466E2A" w14:textId="77777777" w:rsidTr="002C5E27">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193D99E2" w14:textId="37AC1442" w:rsidR="00315701" w:rsidRPr="002C5E27" w:rsidRDefault="00315701" w:rsidP="00315701">
            <w:pPr>
              <w:rPr>
                <w:color w:val="000000"/>
                <w:kern w:val="22"/>
                <w:szCs w:val="22"/>
                <w:lang w:val="fr-FR" w:eastAsia="en-CA"/>
              </w:rPr>
            </w:pPr>
            <w:r w:rsidRPr="002C5E27">
              <w:rPr>
                <w:color w:val="000000"/>
                <w:kern w:val="22"/>
                <w:szCs w:val="22"/>
                <w:lang w:val="fr-FR" w:eastAsia="en-CA"/>
              </w:rPr>
              <w:t xml:space="preserve">J. </w:t>
            </w:r>
            <w:r w:rsidR="00516B1C" w:rsidRPr="002C5E27">
              <w:rPr>
                <w:color w:val="000000"/>
                <w:kern w:val="22"/>
                <w:szCs w:val="22"/>
                <w:lang w:val="fr-FR" w:eastAsia="en-CA"/>
              </w:rPr>
              <w:t>Réunions d’experts</w:t>
            </w:r>
          </w:p>
        </w:tc>
        <w:tc>
          <w:tcPr>
            <w:tcW w:w="1260" w:type="dxa"/>
            <w:tcBorders>
              <w:top w:val="nil"/>
              <w:left w:val="nil"/>
              <w:bottom w:val="single" w:sz="4" w:space="0" w:color="auto"/>
              <w:right w:val="single" w:sz="4" w:space="0" w:color="auto"/>
            </w:tcBorders>
            <w:shd w:val="clear" w:color="auto" w:fill="auto"/>
            <w:vAlign w:val="center"/>
            <w:hideMark/>
          </w:tcPr>
          <w:p w14:paraId="6B452826" w14:textId="77777777" w:rsidR="00315701" w:rsidRPr="002C5E27" w:rsidRDefault="00315701" w:rsidP="00315701">
            <w:pPr>
              <w:jc w:val="right"/>
              <w:rPr>
                <w:color w:val="000000"/>
                <w:kern w:val="22"/>
                <w:szCs w:val="22"/>
                <w:lang w:val="fr-FR" w:eastAsia="en-CA"/>
              </w:rPr>
            </w:pPr>
            <w:r w:rsidRPr="002C5E27">
              <w:rPr>
                <w:color w:val="000000"/>
                <w:kern w:val="22"/>
                <w:szCs w:val="22"/>
                <w:lang w:val="fr-FR" w:eastAsia="en-CA"/>
              </w:rPr>
              <w:t>150.0</w:t>
            </w:r>
          </w:p>
        </w:tc>
        <w:tc>
          <w:tcPr>
            <w:tcW w:w="1620" w:type="dxa"/>
            <w:tcBorders>
              <w:top w:val="nil"/>
              <w:left w:val="nil"/>
              <w:bottom w:val="single" w:sz="4" w:space="0" w:color="auto"/>
              <w:right w:val="single" w:sz="4" w:space="0" w:color="auto"/>
            </w:tcBorders>
            <w:shd w:val="clear" w:color="auto" w:fill="auto"/>
            <w:vAlign w:val="center"/>
            <w:hideMark/>
          </w:tcPr>
          <w:p w14:paraId="57222AB8" w14:textId="77777777" w:rsidR="00315701" w:rsidRPr="002C5E27" w:rsidRDefault="00315701" w:rsidP="00315701">
            <w:pPr>
              <w:jc w:val="right"/>
              <w:rPr>
                <w:color w:val="000000"/>
                <w:kern w:val="22"/>
                <w:szCs w:val="22"/>
                <w:lang w:val="fr-FR" w:eastAsia="en-CA"/>
              </w:rPr>
            </w:pPr>
            <w:r w:rsidRPr="002C5E27">
              <w:rPr>
                <w:color w:val="000000"/>
                <w:kern w:val="22"/>
                <w:szCs w:val="22"/>
                <w:lang w:val="fr-FR" w:eastAsia="en-CA"/>
              </w:rPr>
              <w:t>0.0</w:t>
            </w:r>
          </w:p>
        </w:tc>
        <w:tc>
          <w:tcPr>
            <w:tcW w:w="1350" w:type="dxa"/>
            <w:tcBorders>
              <w:top w:val="nil"/>
              <w:left w:val="nil"/>
              <w:bottom w:val="single" w:sz="4" w:space="0" w:color="auto"/>
              <w:right w:val="single" w:sz="4" w:space="0" w:color="auto"/>
            </w:tcBorders>
            <w:shd w:val="clear" w:color="auto" w:fill="auto"/>
            <w:vAlign w:val="center"/>
            <w:hideMark/>
          </w:tcPr>
          <w:p w14:paraId="54CDCADB" w14:textId="77777777" w:rsidR="00315701" w:rsidRPr="002C5E27" w:rsidRDefault="00315701" w:rsidP="00315701">
            <w:pPr>
              <w:jc w:val="right"/>
              <w:rPr>
                <w:color w:val="000000"/>
                <w:kern w:val="22"/>
                <w:szCs w:val="22"/>
                <w:lang w:val="fr-FR" w:eastAsia="en-CA"/>
              </w:rPr>
            </w:pPr>
            <w:r w:rsidRPr="002C5E27">
              <w:rPr>
                <w:color w:val="000000"/>
                <w:kern w:val="22"/>
                <w:szCs w:val="22"/>
                <w:lang w:val="fr-FR" w:eastAsia="en-CA"/>
              </w:rPr>
              <w:t>-150.0</w:t>
            </w:r>
          </w:p>
        </w:tc>
        <w:tc>
          <w:tcPr>
            <w:tcW w:w="900" w:type="dxa"/>
            <w:tcBorders>
              <w:top w:val="nil"/>
              <w:left w:val="nil"/>
              <w:bottom w:val="single" w:sz="4" w:space="0" w:color="auto"/>
              <w:right w:val="single" w:sz="4" w:space="0" w:color="auto"/>
            </w:tcBorders>
            <w:shd w:val="clear" w:color="auto" w:fill="auto"/>
            <w:vAlign w:val="center"/>
            <w:hideMark/>
          </w:tcPr>
          <w:p w14:paraId="75EC109E" w14:textId="57E376AA" w:rsidR="00315701" w:rsidRPr="002C5E27" w:rsidRDefault="00315701" w:rsidP="00315701">
            <w:pPr>
              <w:jc w:val="center"/>
              <w:rPr>
                <w:color w:val="000000"/>
                <w:kern w:val="22"/>
                <w:szCs w:val="22"/>
                <w:lang w:val="fr-FR" w:eastAsia="en-CA"/>
              </w:rPr>
            </w:pPr>
            <w:r w:rsidRPr="002C5E27">
              <w:rPr>
                <w:color w:val="000000"/>
                <w:kern w:val="22"/>
                <w:szCs w:val="22"/>
                <w:lang w:val="fr-FR" w:eastAsia="en-CA"/>
              </w:rPr>
              <w:t>4</w:t>
            </w:r>
          </w:p>
        </w:tc>
      </w:tr>
      <w:tr w:rsidR="00315701" w:rsidRPr="002C5E27" w14:paraId="5218E6E4" w14:textId="77777777" w:rsidTr="002C5E27">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34FD2956" w14:textId="06565656" w:rsidR="00315701" w:rsidRPr="002C5E27" w:rsidRDefault="00315701" w:rsidP="00315701">
            <w:pPr>
              <w:rPr>
                <w:color w:val="000000"/>
                <w:kern w:val="22"/>
                <w:szCs w:val="22"/>
                <w:lang w:val="fr-FR" w:eastAsia="en-CA"/>
              </w:rPr>
            </w:pPr>
            <w:r w:rsidRPr="002C5E27">
              <w:rPr>
                <w:color w:val="000000"/>
                <w:kern w:val="22"/>
                <w:szCs w:val="22"/>
                <w:lang w:val="fr-FR" w:eastAsia="en-CA"/>
              </w:rPr>
              <w:t xml:space="preserve">K. </w:t>
            </w:r>
            <w:r w:rsidR="00516B1C" w:rsidRPr="002C5E27">
              <w:rPr>
                <w:color w:val="000000"/>
                <w:kern w:val="22"/>
                <w:szCs w:val="22"/>
                <w:lang w:val="fr-FR" w:eastAsia="en-CA"/>
              </w:rPr>
              <w:t>Réunions extraordinaire</w:t>
            </w:r>
            <w:r w:rsidR="00C51A89" w:rsidRPr="002C5E27">
              <w:rPr>
                <w:color w:val="000000"/>
                <w:kern w:val="22"/>
                <w:szCs w:val="22"/>
                <w:lang w:val="fr-FR" w:eastAsia="en-CA"/>
              </w:rPr>
              <w:t>s</w:t>
            </w:r>
            <w:r w:rsidR="00516B1C" w:rsidRPr="002C5E27">
              <w:rPr>
                <w:color w:val="000000"/>
                <w:kern w:val="22"/>
                <w:szCs w:val="22"/>
                <w:lang w:val="fr-FR" w:eastAsia="en-CA"/>
              </w:rPr>
              <w:t xml:space="preserve"> </w:t>
            </w:r>
            <w:r w:rsidR="000A5F84" w:rsidRPr="002C5E27">
              <w:rPr>
                <w:color w:val="000000"/>
                <w:kern w:val="22"/>
                <w:szCs w:val="22"/>
                <w:lang w:val="fr-FR" w:eastAsia="en-CA"/>
              </w:rPr>
              <w:t>concernant</w:t>
            </w:r>
            <w:r w:rsidR="00516B1C" w:rsidRPr="002C5E27">
              <w:rPr>
                <w:color w:val="000000"/>
                <w:kern w:val="22"/>
                <w:szCs w:val="22"/>
                <w:lang w:val="fr-FR" w:eastAsia="en-CA"/>
              </w:rPr>
              <w:t xml:space="preserve"> l’après-2020</w:t>
            </w:r>
          </w:p>
        </w:tc>
        <w:tc>
          <w:tcPr>
            <w:tcW w:w="1260" w:type="dxa"/>
            <w:tcBorders>
              <w:top w:val="nil"/>
              <w:left w:val="nil"/>
              <w:bottom w:val="single" w:sz="4" w:space="0" w:color="auto"/>
              <w:right w:val="single" w:sz="4" w:space="0" w:color="auto"/>
            </w:tcBorders>
            <w:shd w:val="clear" w:color="auto" w:fill="auto"/>
            <w:vAlign w:val="center"/>
            <w:hideMark/>
          </w:tcPr>
          <w:p w14:paraId="6F278741" w14:textId="77777777" w:rsidR="00315701" w:rsidRPr="002C5E27" w:rsidRDefault="00315701" w:rsidP="00315701">
            <w:pPr>
              <w:jc w:val="right"/>
              <w:rPr>
                <w:color w:val="000000"/>
                <w:kern w:val="22"/>
                <w:szCs w:val="22"/>
                <w:lang w:val="fr-FR" w:eastAsia="en-CA"/>
              </w:rPr>
            </w:pPr>
            <w:r w:rsidRPr="002C5E27">
              <w:rPr>
                <w:color w:val="000000"/>
                <w:kern w:val="22"/>
                <w:szCs w:val="22"/>
                <w:lang w:val="fr-FR" w:eastAsia="en-CA"/>
              </w:rPr>
              <w:t>560.0</w:t>
            </w:r>
          </w:p>
        </w:tc>
        <w:tc>
          <w:tcPr>
            <w:tcW w:w="1620" w:type="dxa"/>
            <w:tcBorders>
              <w:top w:val="nil"/>
              <w:left w:val="nil"/>
              <w:bottom w:val="single" w:sz="4" w:space="0" w:color="auto"/>
              <w:right w:val="single" w:sz="4" w:space="0" w:color="auto"/>
            </w:tcBorders>
            <w:shd w:val="clear" w:color="auto" w:fill="auto"/>
            <w:vAlign w:val="center"/>
            <w:hideMark/>
          </w:tcPr>
          <w:p w14:paraId="5A7CBF99" w14:textId="77777777" w:rsidR="00315701" w:rsidRPr="002C5E27" w:rsidRDefault="00315701" w:rsidP="00315701">
            <w:pPr>
              <w:jc w:val="right"/>
              <w:rPr>
                <w:color w:val="000000"/>
                <w:kern w:val="22"/>
                <w:szCs w:val="22"/>
                <w:lang w:val="fr-FR" w:eastAsia="en-CA"/>
              </w:rPr>
            </w:pPr>
            <w:r w:rsidRPr="002C5E27">
              <w:rPr>
                <w:color w:val="000000"/>
                <w:kern w:val="22"/>
                <w:szCs w:val="22"/>
                <w:lang w:val="fr-FR" w:eastAsia="en-CA"/>
              </w:rPr>
              <w:t>350.0</w:t>
            </w:r>
          </w:p>
        </w:tc>
        <w:tc>
          <w:tcPr>
            <w:tcW w:w="1350" w:type="dxa"/>
            <w:tcBorders>
              <w:top w:val="nil"/>
              <w:left w:val="nil"/>
              <w:bottom w:val="single" w:sz="4" w:space="0" w:color="auto"/>
              <w:right w:val="single" w:sz="4" w:space="0" w:color="auto"/>
            </w:tcBorders>
            <w:shd w:val="clear" w:color="auto" w:fill="auto"/>
            <w:vAlign w:val="center"/>
            <w:hideMark/>
          </w:tcPr>
          <w:p w14:paraId="7ECF3B80" w14:textId="77777777" w:rsidR="00315701" w:rsidRPr="002C5E27" w:rsidRDefault="00315701" w:rsidP="00315701">
            <w:pPr>
              <w:jc w:val="right"/>
              <w:rPr>
                <w:color w:val="000000"/>
                <w:kern w:val="22"/>
                <w:szCs w:val="22"/>
                <w:lang w:val="fr-FR" w:eastAsia="en-CA"/>
              </w:rPr>
            </w:pPr>
            <w:r w:rsidRPr="002C5E27">
              <w:rPr>
                <w:color w:val="000000"/>
                <w:kern w:val="22"/>
                <w:szCs w:val="22"/>
                <w:lang w:val="fr-FR" w:eastAsia="en-CA"/>
              </w:rPr>
              <w:t>-210.0</w:t>
            </w:r>
          </w:p>
        </w:tc>
        <w:tc>
          <w:tcPr>
            <w:tcW w:w="900" w:type="dxa"/>
            <w:tcBorders>
              <w:top w:val="nil"/>
              <w:left w:val="nil"/>
              <w:bottom w:val="single" w:sz="4" w:space="0" w:color="auto"/>
              <w:right w:val="single" w:sz="4" w:space="0" w:color="auto"/>
            </w:tcBorders>
            <w:shd w:val="clear" w:color="auto" w:fill="auto"/>
            <w:vAlign w:val="center"/>
            <w:hideMark/>
          </w:tcPr>
          <w:p w14:paraId="6F2AA56B" w14:textId="229046D3" w:rsidR="00315701" w:rsidRPr="002C5E27" w:rsidRDefault="00315701" w:rsidP="00315701">
            <w:pPr>
              <w:jc w:val="center"/>
              <w:rPr>
                <w:color w:val="000000"/>
                <w:kern w:val="22"/>
                <w:szCs w:val="22"/>
                <w:lang w:val="fr-FR" w:eastAsia="en-CA"/>
              </w:rPr>
            </w:pPr>
            <w:r w:rsidRPr="002C5E27">
              <w:rPr>
                <w:color w:val="000000"/>
                <w:kern w:val="22"/>
                <w:szCs w:val="22"/>
                <w:lang w:val="fr-FR" w:eastAsia="en-CA"/>
              </w:rPr>
              <w:t>5</w:t>
            </w:r>
          </w:p>
        </w:tc>
      </w:tr>
      <w:tr w:rsidR="00315701" w:rsidRPr="002C5E27" w14:paraId="3EF7FF78" w14:textId="77777777" w:rsidTr="002C5E27">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205E9DC2" w14:textId="5AD34CBB" w:rsidR="00315701" w:rsidRPr="002C5E27" w:rsidRDefault="00315701" w:rsidP="00315701">
            <w:pPr>
              <w:rPr>
                <w:color w:val="000000"/>
                <w:kern w:val="22"/>
                <w:szCs w:val="22"/>
                <w:lang w:val="fr-FR" w:eastAsia="en-CA"/>
              </w:rPr>
            </w:pPr>
            <w:r w:rsidRPr="002C5E27">
              <w:rPr>
                <w:color w:val="000000"/>
                <w:kern w:val="22"/>
                <w:szCs w:val="22"/>
                <w:lang w:val="fr-FR" w:eastAsia="en-CA"/>
              </w:rPr>
              <w:t xml:space="preserve">L. </w:t>
            </w:r>
            <w:r w:rsidR="00516B1C" w:rsidRPr="002C5E27">
              <w:rPr>
                <w:color w:val="000000"/>
                <w:kern w:val="22"/>
                <w:szCs w:val="22"/>
                <w:lang w:val="fr-FR" w:eastAsia="en-CA"/>
              </w:rPr>
              <w:t xml:space="preserve">Loyer et </w:t>
            </w:r>
            <w:r w:rsidR="000A5F84" w:rsidRPr="002C5E27">
              <w:rPr>
                <w:color w:val="000000"/>
                <w:kern w:val="22"/>
                <w:szCs w:val="22"/>
                <w:lang w:val="fr-FR" w:eastAsia="en-CA"/>
              </w:rPr>
              <w:t xml:space="preserve">dépenses connexes </w:t>
            </w:r>
          </w:p>
        </w:tc>
        <w:tc>
          <w:tcPr>
            <w:tcW w:w="1260" w:type="dxa"/>
            <w:tcBorders>
              <w:top w:val="nil"/>
              <w:left w:val="nil"/>
              <w:bottom w:val="single" w:sz="4" w:space="0" w:color="auto"/>
              <w:right w:val="single" w:sz="4" w:space="0" w:color="auto"/>
            </w:tcBorders>
            <w:shd w:val="clear" w:color="auto" w:fill="auto"/>
            <w:vAlign w:val="center"/>
            <w:hideMark/>
          </w:tcPr>
          <w:p w14:paraId="68D6E8A7" w14:textId="77777777" w:rsidR="00315701" w:rsidRPr="002C5E27" w:rsidRDefault="00315701" w:rsidP="00315701">
            <w:pPr>
              <w:jc w:val="right"/>
              <w:rPr>
                <w:color w:val="000000"/>
                <w:kern w:val="22"/>
                <w:szCs w:val="22"/>
                <w:lang w:val="fr-FR" w:eastAsia="en-CA"/>
              </w:rPr>
            </w:pPr>
            <w:r w:rsidRPr="002C5E27">
              <w:rPr>
                <w:color w:val="000000"/>
                <w:kern w:val="22"/>
                <w:szCs w:val="22"/>
                <w:lang w:val="fr-FR" w:eastAsia="en-CA"/>
              </w:rPr>
              <w:t>1,423.4</w:t>
            </w:r>
          </w:p>
        </w:tc>
        <w:tc>
          <w:tcPr>
            <w:tcW w:w="1620" w:type="dxa"/>
            <w:tcBorders>
              <w:top w:val="nil"/>
              <w:left w:val="nil"/>
              <w:bottom w:val="single" w:sz="4" w:space="0" w:color="auto"/>
              <w:right w:val="single" w:sz="4" w:space="0" w:color="auto"/>
            </w:tcBorders>
            <w:shd w:val="clear" w:color="auto" w:fill="auto"/>
            <w:vAlign w:val="center"/>
            <w:hideMark/>
          </w:tcPr>
          <w:p w14:paraId="17A82BF5" w14:textId="77777777" w:rsidR="00315701" w:rsidRPr="002C5E27" w:rsidRDefault="00315701" w:rsidP="00315701">
            <w:pPr>
              <w:jc w:val="right"/>
              <w:rPr>
                <w:color w:val="000000"/>
                <w:kern w:val="22"/>
                <w:szCs w:val="22"/>
                <w:lang w:val="fr-FR" w:eastAsia="en-CA"/>
              </w:rPr>
            </w:pPr>
            <w:r w:rsidRPr="002C5E27">
              <w:rPr>
                <w:color w:val="000000"/>
                <w:kern w:val="22"/>
                <w:szCs w:val="22"/>
                <w:lang w:val="fr-FR" w:eastAsia="en-CA"/>
              </w:rPr>
              <w:t>1,358.2</w:t>
            </w:r>
          </w:p>
        </w:tc>
        <w:tc>
          <w:tcPr>
            <w:tcW w:w="1350" w:type="dxa"/>
            <w:tcBorders>
              <w:top w:val="nil"/>
              <w:left w:val="nil"/>
              <w:bottom w:val="single" w:sz="4" w:space="0" w:color="auto"/>
              <w:right w:val="single" w:sz="4" w:space="0" w:color="auto"/>
            </w:tcBorders>
            <w:shd w:val="clear" w:color="auto" w:fill="auto"/>
            <w:vAlign w:val="center"/>
            <w:hideMark/>
          </w:tcPr>
          <w:p w14:paraId="29AB0EF3" w14:textId="77777777" w:rsidR="00315701" w:rsidRPr="002C5E27" w:rsidRDefault="00315701" w:rsidP="00315701">
            <w:pPr>
              <w:jc w:val="right"/>
              <w:rPr>
                <w:color w:val="000000"/>
                <w:kern w:val="22"/>
                <w:szCs w:val="22"/>
                <w:lang w:val="fr-FR" w:eastAsia="en-CA"/>
              </w:rPr>
            </w:pPr>
            <w:r w:rsidRPr="002C5E27">
              <w:rPr>
                <w:color w:val="000000"/>
                <w:kern w:val="22"/>
                <w:szCs w:val="22"/>
                <w:lang w:val="fr-FR" w:eastAsia="en-CA"/>
              </w:rPr>
              <w:t>-65.2</w:t>
            </w:r>
          </w:p>
        </w:tc>
        <w:tc>
          <w:tcPr>
            <w:tcW w:w="900" w:type="dxa"/>
            <w:tcBorders>
              <w:top w:val="nil"/>
              <w:left w:val="nil"/>
              <w:bottom w:val="single" w:sz="4" w:space="0" w:color="auto"/>
              <w:right w:val="single" w:sz="4" w:space="0" w:color="auto"/>
            </w:tcBorders>
            <w:shd w:val="clear" w:color="auto" w:fill="auto"/>
            <w:vAlign w:val="center"/>
            <w:hideMark/>
          </w:tcPr>
          <w:p w14:paraId="22695BEB" w14:textId="77777777" w:rsidR="00315701" w:rsidRPr="002C5E27" w:rsidRDefault="00315701" w:rsidP="00315701">
            <w:pPr>
              <w:jc w:val="center"/>
              <w:rPr>
                <w:color w:val="000000"/>
                <w:kern w:val="22"/>
                <w:szCs w:val="22"/>
                <w:lang w:val="fr-FR" w:eastAsia="en-CA"/>
              </w:rPr>
            </w:pPr>
            <w:r w:rsidRPr="002C5E27">
              <w:rPr>
                <w:color w:val="000000"/>
                <w:kern w:val="22"/>
                <w:szCs w:val="22"/>
                <w:lang w:val="fr-FR" w:eastAsia="en-CA"/>
              </w:rPr>
              <w:t> </w:t>
            </w:r>
          </w:p>
        </w:tc>
      </w:tr>
      <w:tr w:rsidR="00315701" w:rsidRPr="002C5E27" w14:paraId="15DC0A06" w14:textId="77777777" w:rsidTr="002C5E27">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4B1061CE" w14:textId="7E95894C" w:rsidR="00315701" w:rsidRPr="002C5E27" w:rsidRDefault="00315701" w:rsidP="00315701">
            <w:pPr>
              <w:rPr>
                <w:color w:val="000000"/>
                <w:kern w:val="22"/>
                <w:szCs w:val="22"/>
                <w:lang w:val="fr-FR" w:eastAsia="en-CA"/>
              </w:rPr>
            </w:pPr>
            <w:r w:rsidRPr="002C5E27">
              <w:rPr>
                <w:color w:val="000000"/>
                <w:kern w:val="22"/>
                <w:szCs w:val="22"/>
                <w:lang w:val="fr-FR" w:eastAsia="en-CA"/>
              </w:rPr>
              <w:t xml:space="preserve">M. </w:t>
            </w:r>
            <w:r w:rsidR="000A5F84" w:rsidRPr="002C5E27">
              <w:rPr>
                <w:color w:val="000000" w:themeColor="text1"/>
                <w:kern w:val="22"/>
                <w:szCs w:val="22"/>
                <w:lang w:val="fr-FR" w:eastAsia="en-CA"/>
              </w:rPr>
              <w:t>Dépenses générales d’exploitation</w:t>
            </w:r>
          </w:p>
        </w:tc>
        <w:tc>
          <w:tcPr>
            <w:tcW w:w="1260" w:type="dxa"/>
            <w:tcBorders>
              <w:top w:val="nil"/>
              <w:left w:val="nil"/>
              <w:bottom w:val="single" w:sz="4" w:space="0" w:color="auto"/>
              <w:right w:val="single" w:sz="4" w:space="0" w:color="auto"/>
            </w:tcBorders>
            <w:shd w:val="clear" w:color="auto" w:fill="auto"/>
            <w:vAlign w:val="center"/>
            <w:hideMark/>
          </w:tcPr>
          <w:p w14:paraId="4E84F30D" w14:textId="77777777" w:rsidR="00315701" w:rsidRPr="002C5E27" w:rsidRDefault="00315701" w:rsidP="00315701">
            <w:pPr>
              <w:jc w:val="right"/>
              <w:rPr>
                <w:color w:val="000000"/>
                <w:kern w:val="22"/>
                <w:szCs w:val="22"/>
                <w:lang w:val="fr-FR" w:eastAsia="en-CA"/>
              </w:rPr>
            </w:pPr>
            <w:r w:rsidRPr="002C5E27">
              <w:rPr>
                <w:color w:val="000000"/>
                <w:kern w:val="22"/>
                <w:szCs w:val="22"/>
                <w:lang w:val="fr-FR" w:eastAsia="en-CA"/>
              </w:rPr>
              <w:t>726.6</w:t>
            </w:r>
          </w:p>
        </w:tc>
        <w:tc>
          <w:tcPr>
            <w:tcW w:w="1620" w:type="dxa"/>
            <w:tcBorders>
              <w:top w:val="nil"/>
              <w:left w:val="nil"/>
              <w:bottom w:val="single" w:sz="4" w:space="0" w:color="auto"/>
              <w:right w:val="single" w:sz="4" w:space="0" w:color="auto"/>
            </w:tcBorders>
            <w:shd w:val="clear" w:color="auto" w:fill="auto"/>
            <w:vAlign w:val="center"/>
            <w:hideMark/>
          </w:tcPr>
          <w:p w14:paraId="5D6D240B" w14:textId="77777777" w:rsidR="00315701" w:rsidRPr="002C5E27" w:rsidRDefault="00315701" w:rsidP="00315701">
            <w:pPr>
              <w:jc w:val="right"/>
              <w:rPr>
                <w:color w:val="000000"/>
                <w:kern w:val="22"/>
                <w:szCs w:val="22"/>
                <w:lang w:val="fr-FR" w:eastAsia="en-CA"/>
              </w:rPr>
            </w:pPr>
            <w:r w:rsidRPr="002C5E27">
              <w:rPr>
                <w:color w:val="000000"/>
                <w:kern w:val="22"/>
                <w:szCs w:val="22"/>
                <w:lang w:val="fr-FR" w:eastAsia="en-CA"/>
              </w:rPr>
              <w:t>726.6</w:t>
            </w:r>
          </w:p>
        </w:tc>
        <w:tc>
          <w:tcPr>
            <w:tcW w:w="1350" w:type="dxa"/>
            <w:tcBorders>
              <w:top w:val="nil"/>
              <w:left w:val="nil"/>
              <w:bottom w:val="single" w:sz="4" w:space="0" w:color="auto"/>
              <w:right w:val="single" w:sz="4" w:space="0" w:color="auto"/>
            </w:tcBorders>
            <w:shd w:val="clear" w:color="auto" w:fill="auto"/>
            <w:vAlign w:val="center"/>
            <w:hideMark/>
          </w:tcPr>
          <w:p w14:paraId="3F0CB088" w14:textId="77777777" w:rsidR="00315701" w:rsidRPr="002C5E27" w:rsidRDefault="00315701" w:rsidP="00315701">
            <w:pPr>
              <w:jc w:val="right"/>
              <w:rPr>
                <w:color w:val="000000"/>
                <w:kern w:val="22"/>
                <w:szCs w:val="22"/>
                <w:lang w:val="fr-FR" w:eastAsia="en-CA"/>
              </w:rPr>
            </w:pPr>
            <w:r w:rsidRPr="002C5E27">
              <w:rPr>
                <w:color w:val="000000"/>
                <w:kern w:val="22"/>
                <w:szCs w:val="22"/>
                <w:lang w:val="fr-FR" w:eastAsia="en-CA"/>
              </w:rPr>
              <w:t>0.0</w:t>
            </w:r>
          </w:p>
        </w:tc>
        <w:tc>
          <w:tcPr>
            <w:tcW w:w="900" w:type="dxa"/>
            <w:tcBorders>
              <w:top w:val="nil"/>
              <w:left w:val="nil"/>
              <w:bottom w:val="single" w:sz="4" w:space="0" w:color="auto"/>
              <w:right w:val="single" w:sz="4" w:space="0" w:color="auto"/>
            </w:tcBorders>
            <w:shd w:val="clear" w:color="auto" w:fill="auto"/>
            <w:vAlign w:val="center"/>
            <w:hideMark/>
          </w:tcPr>
          <w:p w14:paraId="64DD38E1" w14:textId="77777777" w:rsidR="00315701" w:rsidRPr="002C5E27" w:rsidRDefault="00315701" w:rsidP="00315701">
            <w:pPr>
              <w:jc w:val="center"/>
              <w:rPr>
                <w:color w:val="000000"/>
                <w:kern w:val="22"/>
                <w:szCs w:val="22"/>
                <w:lang w:val="fr-FR" w:eastAsia="en-CA"/>
              </w:rPr>
            </w:pPr>
            <w:r w:rsidRPr="002C5E27">
              <w:rPr>
                <w:color w:val="000000"/>
                <w:kern w:val="22"/>
                <w:szCs w:val="22"/>
                <w:lang w:val="fr-FR" w:eastAsia="en-CA"/>
              </w:rPr>
              <w:t> </w:t>
            </w:r>
          </w:p>
        </w:tc>
      </w:tr>
      <w:tr w:rsidR="00315701" w:rsidRPr="002C5E27" w14:paraId="74121A93" w14:textId="77777777" w:rsidTr="002C5E27">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35794C71" w14:textId="1B31E73A" w:rsidR="00315701" w:rsidRPr="002C5E27" w:rsidRDefault="00315701" w:rsidP="00315701">
            <w:pPr>
              <w:rPr>
                <w:b/>
                <w:bCs/>
                <w:color w:val="000000"/>
                <w:kern w:val="22"/>
                <w:szCs w:val="22"/>
                <w:lang w:val="fr-FR" w:eastAsia="en-CA"/>
              </w:rPr>
            </w:pPr>
            <w:r w:rsidRPr="002C5E27">
              <w:rPr>
                <w:b/>
                <w:bCs/>
                <w:color w:val="000000"/>
                <w:kern w:val="22"/>
                <w:szCs w:val="22"/>
                <w:lang w:val="fr-FR" w:eastAsia="en-CA"/>
              </w:rPr>
              <w:t>S</w:t>
            </w:r>
            <w:r w:rsidR="00CF5B89" w:rsidRPr="002C5E27">
              <w:rPr>
                <w:b/>
                <w:bCs/>
                <w:color w:val="000000"/>
                <w:kern w:val="22"/>
                <w:szCs w:val="22"/>
                <w:lang w:val="fr-FR" w:eastAsia="en-CA"/>
              </w:rPr>
              <w:t>ous</w:t>
            </w:r>
            <w:r w:rsidRPr="002C5E27">
              <w:rPr>
                <w:b/>
                <w:bCs/>
                <w:color w:val="000000"/>
                <w:kern w:val="22"/>
                <w:szCs w:val="22"/>
                <w:lang w:val="fr-FR" w:eastAsia="en-CA"/>
              </w:rPr>
              <w:t>-total (I)</w:t>
            </w:r>
          </w:p>
        </w:tc>
        <w:tc>
          <w:tcPr>
            <w:tcW w:w="1260" w:type="dxa"/>
            <w:tcBorders>
              <w:top w:val="nil"/>
              <w:left w:val="nil"/>
              <w:bottom w:val="single" w:sz="4" w:space="0" w:color="auto"/>
              <w:right w:val="single" w:sz="4" w:space="0" w:color="auto"/>
            </w:tcBorders>
            <w:shd w:val="clear" w:color="auto" w:fill="auto"/>
            <w:vAlign w:val="center"/>
            <w:hideMark/>
          </w:tcPr>
          <w:p w14:paraId="097650BD" w14:textId="77777777" w:rsidR="00315701" w:rsidRPr="002C5E27" w:rsidRDefault="00315701" w:rsidP="00315701">
            <w:pPr>
              <w:jc w:val="right"/>
              <w:rPr>
                <w:b/>
                <w:bCs/>
                <w:color w:val="000000"/>
                <w:kern w:val="22"/>
                <w:szCs w:val="22"/>
                <w:lang w:val="fr-FR" w:eastAsia="en-CA"/>
              </w:rPr>
            </w:pPr>
            <w:r w:rsidRPr="002C5E27">
              <w:rPr>
                <w:b/>
                <w:bCs/>
                <w:color w:val="000000"/>
                <w:kern w:val="22"/>
                <w:szCs w:val="22"/>
                <w:lang w:val="fr-FR" w:eastAsia="en-CA"/>
              </w:rPr>
              <w:t>17,490.6</w:t>
            </w:r>
          </w:p>
        </w:tc>
        <w:tc>
          <w:tcPr>
            <w:tcW w:w="1620" w:type="dxa"/>
            <w:tcBorders>
              <w:top w:val="nil"/>
              <w:left w:val="nil"/>
              <w:bottom w:val="single" w:sz="4" w:space="0" w:color="auto"/>
              <w:right w:val="single" w:sz="4" w:space="0" w:color="auto"/>
            </w:tcBorders>
            <w:shd w:val="clear" w:color="auto" w:fill="auto"/>
            <w:vAlign w:val="center"/>
            <w:hideMark/>
          </w:tcPr>
          <w:p w14:paraId="1B04134B" w14:textId="77777777" w:rsidR="00315701" w:rsidRPr="002C5E27" w:rsidRDefault="00315701" w:rsidP="00315701">
            <w:pPr>
              <w:jc w:val="right"/>
              <w:rPr>
                <w:b/>
                <w:bCs/>
                <w:color w:val="000000"/>
                <w:kern w:val="22"/>
                <w:szCs w:val="22"/>
                <w:lang w:val="fr-FR" w:eastAsia="en-CA"/>
              </w:rPr>
            </w:pPr>
            <w:r w:rsidRPr="002C5E27">
              <w:rPr>
                <w:b/>
                <w:bCs/>
                <w:color w:val="000000"/>
                <w:kern w:val="22"/>
                <w:szCs w:val="22"/>
                <w:lang w:val="fr-FR" w:eastAsia="en-CA"/>
              </w:rPr>
              <w:t>15,320.1</w:t>
            </w:r>
          </w:p>
        </w:tc>
        <w:tc>
          <w:tcPr>
            <w:tcW w:w="1350" w:type="dxa"/>
            <w:tcBorders>
              <w:top w:val="nil"/>
              <w:left w:val="nil"/>
              <w:bottom w:val="single" w:sz="4" w:space="0" w:color="auto"/>
              <w:right w:val="single" w:sz="4" w:space="0" w:color="auto"/>
            </w:tcBorders>
            <w:shd w:val="clear" w:color="auto" w:fill="auto"/>
            <w:vAlign w:val="center"/>
            <w:hideMark/>
          </w:tcPr>
          <w:p w14:paraId="0664D34E" w14:textId="77777777" w:rsidR="00315701" w:rsidRPr="002C5E27" w:rsidRDefault="00315701" w:rsidP="00315701">
            <w:pPr>
              <w:jc w:val="right"/>
              <w:rPr>
                <w:b/>
                <w:bCs/>
                <w:color w:val="000000"/>
                <w:kern w:val="22"/>
                <w:szCs w:val="22"/>
                <w:lang w:val="fr-FR" w:eastAsia="en-CA"/>
              </w:rPr>
            </w:pPr>
            <w:r w:rsidRPr="002C5E27">
              <w:rPr>
                <w:b/>
                <w:bCs/>
                <w:color w:val="000000"/>
                <w:kern w:val="22"/>
                <w:szCs w:val="22"/>
                <w:lang w:val="fr-FR" w:eastAsia="en-CA"/>
              </w:rPr>
              <w:t>-2,170.5</w:t>
            </w:r>
          </w:p>
        </w:tc>
        <w:tc>
          <w:tcPr>
            <w:tcW w:w="900" w:type="dxa"/>
            <w:tcBorders>
              <w:top w:val="nil"/>
              <w:left w:val="nil"/>
              <w:bottom w:val="single" w:sz="4" w:space="0" w:color="auto"/>
              <w:right w:val="single" w:sz="4" w:space="0" w:color="auto"/>
            </w:tcBorders>
            <w:shd w:val="clear" w:color="auto" w:fill="auto"/>
            <w:vAlign w:val="center"/>
            <w:hideMark/>
          </w:tcPr>
          <w:p w14:paraId="650B0D82" w14:textId="77777777" w:rsidR="00315701" w:rsidRPr="002C5E27" w:rsidRDefault="00315701" w:rsidP="00315701">
            <w:pPr>
              <w:jc w:val="center"/>
              <w:rPr>
                <w:b/>
                <w:bCs/>
                <w:color w:val="000000"/>
                <w:kern w:val="22"/>
                <w:szCs w:val="22"/>
                <w:lang w:val="fr-FR" w:eastAsia="en-CA"/>
              </w:rPr>
            </w:pPr>
            <w:r w:rsidRPr="002C5E27">
              <w:rPr>
                <w:b/>
                <w:bCs/>
                <w:color w:val="000000"/>
                <w:kern w:val="22"/>
                <w:szCs w:val="22"/>
                <w:lang w:val="fr-FR" w:eastAsia="en-CA"/>
              </w:rPr>
              <w:t> </w:t>
            </w:r>
          </w:p>
        </w:tc>
      </w:tr>
      <w:tr w:rsidR="00315701" w:rsidRPr="002C5E27" w14:paraId="5C4FB945" w14:textId="77777777" w:rsidTr="002C5E27">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75927E3F" w14:textId="2B25B26B" w:rsidR="00315701" w:rsidRPr="002C5E27" w:rsidRDefault="00315701" w:rsidP="00315701">
            <w:pPr>
              <w:rPr>
                <w:b/>
                <w:bCs/>
                <w:color w:val="000000"/>
                <w:kern w:val="22"/>
                <w:szCs w:val="22"/>
                <w:lang w:val="fr-FR" w:eastAsia="en-CA"/>
              </w:rPr>
            </w:pPr>
            <w:r w:rsidRPr="002C5E27">
              <w:rPr>
                <w:b/>
                <w:bCs/>
                <w:color w:val="000000"/>
                <w:kern w:val="22"/>
                <w:szCs w:val="22"/>
                <w:lang w:val="fr-FR" w:eastAsia="en-CA"/>
              </w:rPr>
              <w:t xml:space="preserve">II. </w:t>
            </w:r>
            <w:r w:rsidR="00516B1C" w:rsidRPr="002C5E27">
              <w:rPr>
                <w:b/>
                <w:bCs/>
                <w:color w:val="000000" w:themeColor="text1"/>
                <w:kern w:val="22"/>
                <w:szCs w:val="22"/>
                <w:lang w:val="fr-FR" w:eastAsia="en-CA"/>
              </w:rPr>
              <w:t>Frais de soutien au programme (13%)</w:t>
            </w:r>
          </w:p>
        </w:tc>
        <w:tc>
          <w:tcPr>
            <w:tcW w:w="1260" w:type="dxa"/>
            <w:tcBorders>
              <w:top w:val="nil"/>
              <w:left w:val="nil"/>
              <w:bottom w:val="single" w:sz="4" w:space="0" w:color="auto"/>
              <w:right w:val="single" w:sz="4" w:space="0" w:color="auto"/>
            </w:tcBorders>
            <w:shd w:val="clear" w:color="auto" w:fill="auto"/>
            <w:vAlign w:val="center"/>
            <w:hideMark/>
          </w:tcPr>
          <w:p w14:paraId="1002390A" w14:textId="77777777" w:rsidR="00315701" w:rsidRPr="002C5E27" w:rsidRDefault="00315701" w:rsidP="00315701">
            <w:pPr>
              <w:jc w:val="right"/>
              <w:rPr>
                <w:color w:val="000000"/>
                <w:kern w:val="22"/>
                <w:szCs w:val="22"/>
                <w:lang w:val="fr-FR" w:eastAsia="en-CA"/>
              </w:rPr>
            </w:pPr>
            <w:r w:rsidRPr="002C5E27">
              <w:rPr>
                <w:color w:val="000000"/>
                <w:kern w:val="22"/>
                <w:szCs w:val="22"/>
                <w:lang w:val="fr-FR" w:eastAsia="en-CA"/>
              </w:rPr>
              <w:t>2,273.8</w:t>
            </w:r>
          </w:p>
        </w:tc>
        <w:tc>
          <w:tcPr>
            <w:tcW w:w="1620" w:type="dxa"/>
            <w:tcBorders>
              <w:top w:val="nil"/>
              <w:left w:val="nil"/>
              <w:bottom w:val="single" w:sz="4" w:space="0" w:color="auto"/>
              <w:right w:val="single" w:sz="4" w:space="0" w:color="auto"/>
            </w:tcBorders>
            <w:shd w:val="clear" w:color="auto" w:fill="auto"/>
            <w:vAlign w:val="center"/>
            <w:hideMark/>
          </w:tcPr>
          <w:p w14:paraId="4052FBBD" w14:textId="77777777" w:rsidR="00315701" w:rsidRPr="002C5E27" w:rsidRDefault="00315701" w:rsidP="00315701">
            <w:pPr>
              <w:jc w:val="right"/>
              <w:rPr>
                <w:color w:val="000000"/>
                <w:kern w:val="22"/>
                <w:szCs w:val="22"/>
                <w:lang w:val="fr-FR" w:eastAsia="en-CA"/>
              </w:rPr>
            </w:pPr>
            <w:r w:rsidRPr="002C5E27">
              <w:rPr>
                <w:color w:val="000000"/>
                <w:kern w:val="22"/>
                <w:szCs w:val="22"/>
                <w:lang w:val="fr-FR" w:eastAsia="en-CA"/>
              </w:rPr>
              <w:t>1,991.6</w:t>
            </w:r>
          </w:p>
        </w:tc>
        <w:tc>
          <w:tcPr>
            <w:tcW w:w="1350" w:type="dxa"/>
            <w:tcBorders>
              <w:top w:val="nil"/>
              <w:left w:val="nil"/>
              <w:bottom w:val="single" w:sz="4" w:space="0" w:color="auto"/>
              <w:right w:val="single" w:sz="4" w:space="0" w:color="auto"/>
            </w:tcBorders>
            <w:shd w:val="clear" w:color="auto" w:fill="auto"/>
            <w:vAlign w:val="center"/>
            <w:hideMark/>
          </w:tcPr>
          <w:p w14:paraId="4A9069F6" w14:textId="77777777" w:rsidR="00315701" w:rsidRPr="002C5E27" w:rsidRDefault="00315701" w:rsidP="00315701">
            <w:pPr>
              <w:jc w:val="right"/>
              <w:rPr>
                <w:color w:val="000000"/>
                <w:kern w:val="22"/>
                <w:szCs w:val="22"/>
                <w:lang w:val="fr-FR" w:eastAsia="en-CA"/>
              </w:rPr>
            </w:pPr>
            <w:r w:rsidRPr="002C5E27">
              <w:rPr>
                <w:color w:val="000000"/>
                <w:kern w:val="22"/>
                <w:szCs w:val="22"/>
                <w:lang w:val="fr-FR" w:eastAsia="en-CA"/>
              </w:rPr>
              <w:t>-282.2</w:t>
            </w:r>
          </w:p>
        </w:tc>
        <w:tc>
          <w:tcPr>
            <w:tcW w:w="900" w:type="dxa"/>
            <w:tcBorders>
              <w:top w:val="nil"/>
              <w:left w:val="nil"/>
              <w:bottom w:val="single" w:sz="4" w:space="0" w:color="auto"/>
              <w:right w:val="single" w:sz="4" w:space="0" w:color="auto"/>
            </w:tcBorders>
            <w:shd w:val="clear" w:color="auto" w:fill="auto"/>
            <w:vAlign w:val="center"/>
            <w:hideMark/>
          </w:tcPr>
          <w:p w14:paraId="213DD637" w14:textId="77777777" w:rsidR="00315701" w:rsidRPr="002C5E27" w:rsidRDefault="00315701" w:rsidP="00315701">
            <w:pPr>
              <w:jc w:val="center"/>
              <w:rPr>
                <w:color w:val="000000"/>
                <w:kern w:val="22"/>
                <w:szCs w:val="22"/>
                <w:lang w:val="fr-FR" w:eastAsia="en-CA"/>
              </w:rPr>
            </w:pPr>
            <w:r w:rsidRPr="002C5E27">
              <w:rPr>
                <w:color w:val="000000"/>
                <w:kern w:val="22"/>
                <w:szCs w:val="22"/>
                <w:lang w:val="fr-FR" w:eastAsia="en-CA"/>
              </w:rPr>
              <w:t> </w:t>
            </w:r>
          </w:p>
        </w:tc>
      </w:tr>
      <w:tr w:rsidR="00315701" w:rsidRPr="002C5E27" w14:paraId="4D918EE8" w14:textId="77777777" w:rsidTr="002C5E27">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79837C3B" w14:textId="5E1C42FD" w:rsidR="00315701" w:rsidRPr="002C5E27" w:rsidRDefault="00315701" w:rsidP="00315701">
            <w:pPr>
              <w:rPr>
                <w:b/>
                <w:bCs/>
                <w:color w:val="000000"/>
                <w:kern w:val="22"/>
                <w:szCs w:val="22"/>
                <w:lang w:val="fr-FR" w:eastAsia="en-CA"/>
              </w:rPr>
            </w:pPr>
            <w:r w:rsidRPr="002C5E27">
              <w:rPr>
                <w:b/>
                <w:bCs/>
                <w:color w:val="000000"/>
                <w:kern w:val="22"/>
                <w:szCs w:val="22"/>
                <w:lang w:val="fr-FR" w:eastAsia="en-CA"/>
              </w:rPr>
              <w:t>S</w:t>
            </w:r>
            <w:r w:rsidR="00516B1C" w:rsidRPr="002C5E27">
              <w:rPr>
                <w:b/>
                <w:bCs/>
                <w:color w:val="000000"/>
                <w:kern w:val="22"/>
                <w:szCs w:val="22"/>
                <w:lang w:val="fr-FR" w:eastAsia="en-CA"/>
              </w:rPr>
              <w:t>ous</w:t>
            </w:r>
            <w:r w:rsidRPr="002C5E27">
              <w:rPr>
                <w:b/>
                <w:bCs/>
                <w:color w:val="000000"/>
                <w:kern w:val="22"/>
                <w:szCs w:val="22"/>
                <w:lang w:val="fr-FR" w:eastAsia="en-CA"/>
              </w:rPr>
              <w:t>-total (I + II)</w:t>
            </w:r>
          </w:p>
        </w:tc>
        <w:tc>
          <w:tcPr>
            <w:tcW w:w="1260" w:type="dxa"/>
            <w:tcBorders>
              <w:top w:val="nil"/>
              <w:left w:val="nil"/>
              <w:bottom w:val="single" w:sz="4" w:space="0" w:color="auto"/>
              <w:right w:val="single" w:sz="4" w:space="0" w:color="auto"/>
            </w:tcBorders>
            <w:shd w:val="clear" w:color="auto" w:fill="auto"/>
            <w:vAlign w:val="center"/>
            <w:hideMark/>
          </w:tcPr>
          <w:p w14:paraId="4441E06A" w14:textId="77777777" w:rsidR="00315701" w:rsidRPr="002C5E27" w:rsidRDefault="00315701" w:rsidP="00315701">
            <w:pPr>
              <w:jc w:val="right"/>
              <w:rPr>
                <w:b/>
                <w:bCs/>
                <w:color w:val="000000"/>
                <w:kern w:val="22"/>
                <w:szCs w:val="22"/>
                <w:lang w:val="fr-FR" w:eastAsia="en-CA"/>
              </w:rPr>
            </w:pPr>
            <w:r w:rsidRPr="002C5E27">
              <w:rPr>
                <w:b/>
                <w:bCs/>
                <w:color w:val="000000"/>
                <w:kern w:val="22"/>
                <w:szCs w:val="22"/>
                <w:lang w:val="fr-FR" w:eastAsia="en-CA"/>
              </w:rPr>
              <w:t>19,764.4</w:t>
            </w:r>
          </w:p>
        </w:tc>
        <w:tc>
          <w:tcPr>
            <w:tcW w:w="1620" w:type="dxa"/>
            <w:tcBorders>
              <w:top w:val="nil"/>
              <w:left w:val="nil"/>
              <w:bottom w:val="single" w:sz="4" w:space="0" w:color="auto"/>
              <w:right w:val="single" w:sz="4" w:space="0" w:color="auto"/>
            </w:tcBorders>
            <w:shd w:val="clear" w:color="auto" w:fill="auto"/>
            <w:vAlign w:val="center"/>
            <w:hideMark/>
          </w:tcPr>
          <w:p w14:paraId="2E4B1B73" w14:textId="77777777" w:rsidR="00315701" w:rsidRPr="002C5E27" w:rsidRDefault="00315701" w:rsidP="00315701">
            <w:pPr>
              <w:jc w:val="right"/>
              <w:rPr>
                <w:b/>
                <w:bCs/>
                <w:color w:val="000000"/>
                <w:kern w:val="22"/>
                <w:szCs w:val="22"/>
                <w:lang w:val="fr-FR" w:eastAsia="en-CA"/>
              </w:rPr>
            </w:pPr>
            <w:r w:rsidRPr="002C5E27">
              <w:rPr>
                <w:b/>
                <w:bCs/>
                <w:color w:val="000000"/>
                <w:kern w:val="22"/>
                <w:szCs w:val="22"/>
                <w:lang w:val="fr-FR" w:eastAsia="en-CA"/>
              </w:rPr>
              <w:t>17,311.7</w:t>
            </w:r>
          </w:p>
        </w:tc>
        <w:tc>
          <w:tcPr>
            <w:tcW w:w="1350" w:type="dxa"/>
            <w:tcBorders>
              <w:top w:val="nil"/>
              <w:left w:val="nil"/>
              <w:bottom w:val="single" w:sz="4" w:space="0" w:color="auto"/>
              <w:right w:val="single" w:sz="4" w:space="0" w:color="auto"/>
            </w:tcBorders>
            <w:shd w:val="clear" w:color="auto" w:fill="auto"/>
            <w:vAlign w:val="center"/>
            <w:hideMark/>
          </w:tcPr>
          <w:p w14:paraId="1268D58F" w14:textId="77777777" w:rsidR="00315701" w:rsidRPr="002C5E27" w:rsidRDefault="00315701" w:rsidP="00315701">
            <w:pPr>
              <w:jc w:val="right"/>
              <w:rPr>
                <w:b/>
                <w:bCs/>
                <w:color w:val="000000"/>
                <w:kern w:val="22"/>
                <w:szCs w:val="22"/>
                <w:lang w:val="fr-FR" w:eastAsia="en-CA"/>
              </w:rPr>
            </w:pPr>
            <w:r w:rsidRPr="002C5E27">
              <w:rPr>
                <w:b/>
                <w:bCs/>
                <w:color w:val="000000"/>
                <w:kern w:val="22"/>
                <w:szCs w:val="22"/>
                <w:lang w:val="fr-FR" w:eastAsia="en-CA"/>
              </w:rPr>
              <w:t>-2,452.7</w:t>
            </w:r>
          </w:p>
        </w:tc>
        <w:tc>
          <w:tcPr>
            <w:tcW w:w="900" w:type="dxa"/>
            <w:tcBorders>
              <w:top w:val="nil"/>
              <w:left w:val="nil"/>
              <w:bottom w:val="single" w:sz="4" w:space="0" w:color="auto"/>
              <w:right w:val="single" w:sz="4" w:space="0" w:color="auto"/>
            </w:tcBorders>
            <w:shd w:val="clear" w:color="auto" w:fill="auto"/>
            <w:vAlign w:val="center"/>
            <w:hideMark/>
          </w:tcPr>
          <w:p w14:paraId="5AD58D10" w14:textId="77777777" w:rsidR="00315701" w:rsidRPr="002C5E27" w:rsidRDefault="00315701" w:rsidP="00315701">
            <w:pPr>
              <w:jc w:val="center"/>
              <w:rPr>
                <w:b/>
                <w:bCs/>
                <w:color w:val="000000"/>
                <w:kern w:val="22"/>
                <w:szCs w:val="22"/>
                <w:lang w:val="fr-FR" w:eastAsia="en-CA"/>
              </w:rPr>
            </w:pPr>
            <w:r w:rsidRPr="002C5E27">
              <w:rPr>
                <w:b/>
                <w:bCs/>
                <w:color w:val="000000"/>
                <w:kern w:val="22"/>
                <w:szCs w:val="22"/>
                <w:lang w:val="fr-FR" w:eastAsia="en-CA"/>
              </w:rPr>
              <w:t> </w:t>
            </w:r>
          </w:p>
        </w:tc>
      </w:tr>
      <w:tr w:rsidR="00315701" w:rsidRPr="002C5E27" w14:paraId="7EE56E6D" w14:textId="77777777" w:rsidTr="002C5E27">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642429EE" w14:textId="42904352" w:rsidR="00315701" w:rsidRPr="002C5E27" w:rsidRDefault="00315701" w:rsidP="00315701">
            <w:pPr>
              <w:rPr>
                <w:b/>
                <w:bCs/>
                <w:color w:val="000000"/>
                <w:kern w:val="22"/>
                <w:szCs w:val="22"/>
                <w:lang w:val="fr-FR" w:eastAsia="en-CA"/>
              </w:rPr>
            </w:pPr>
            <w:r w:rsidRPr="002C5E27">
              <w:rPr>
                <w:b/>
                <w:bCs/>
                <w:color w:val="000000"/>
                <w:kern w:val="22"/>
                <w:szCs w:val="22"/>
                <w:lang w:val="fr-FR" w:eastAsia="en-CA"/>
              </w:rPr>
              <w:t xml:space="preserve">III. </w:t>
            </w:r>
            <w:r w:rsidR="00516B1C" w:rsidRPr="002C5E27">
              <w:rPr>
                <w:b/>
                <w:bCs/>
                <w:color w:val="000000" w:themeColor="text1"/>
                <w:kern w:val="22"/>
                <w:szCs w:val="22"/>
                <w:lang w:val="fr-FR" w:eastAsia="en-CA"/>
              </w:rPr>
              <w:t>Réserve de trésorerie</w:t>
            </w:r>
          </w:p>
        </w:tc>
        <w:tc>
          <w:tcPr>
            <w:tcW w:w="1260" w:type="dxa"/>
            <w:tcBorders>
              <w:top w:val="nil"/>
              <w:left w:val="nil"/>
              <w:bottom w:val="single" w:sz="4" w:space="0" w:color="auto"/>
              <w:right w:val="single" w:sz="4" w:space="0" w:color="auto"/>
            </w:tcBorders>
            <w:shd w:val="clear" w:color="auto" w:fill="auto"/>
            <w:vAlign w:val="center"/>
            <w:hideMark/>
          </w:tcPr>
          <w:p w14:paraId="5A696C85" w14:textId="77777777" w:rsidR="00315701" w:rsidRPr="002C5E27" w:rsidRDefault="00315701" w:rsidP="00315701">
            <w:pPr>
              <w:jc w:val="right"/>
              <w:rPr>
                <w:color w:val="000000"/>
                <w:kern w:val="22"/>
                <w:szCs w:val="22"/>
                <w:lang w:val="fr-FR" w:eastAsia="en-CA"/>
              </w:rPr>
            </w:pPr>
            <w:r w:rsidRPr="002C5E27">
              <w:rPr>
                <w:color w:val="000000"/>
                <w:kern w:val="22"/>
                <w:szCs w:val="22"/>
                <w:lang w:val="fr-FR" w:eastAsia="en-CA"/>
              </w:rPr>
              <w:t>130.8</w:t>
            </w:r>
          </w:p>
        </w:tc>
        <w:tc>
          <w:tcPr>
            <w:tcW w:w="1620" w:type="dxa"/>
            <w:tcBorders>
              <w:top w:val="nil"/>
              <w:left w:val="nil"/>
              <w:bottom w:val="single" w:sz="4" w:space="0" w:color="auto"/>
              <w:right w:val="single" w:sz="4" w:space="0" w:color="auto"/>
            </w:tcBorders>
            <w:shd w:val="clear" w:color="auto" w:fill="auto"/>
            <w:vAlign w:val="center"/>
            <w:hideMark/>
          </w:tcPr>
          <w:p w14:paraId="19751B16" w14:textId="77777777" w:rsidR="00315701" w:rsidRPr="002C5E27" w:rsidRDefault="00315701" w:rsidP="00315701">
            <w:pPr>
              <w:jc w:val="right"/>
              <w:rPr>
                <w:color w:val="000000"/>
                <w:kern w:val="22"/>
                <w:szCs w:val="22"/>
                <w:lang w:val="fr-FR" w:eastAsia="en-CA"/>
              </w:rPr>
            </w:pPr>
            <w:r w:rsidRPr="002C5E27">
              <w:rPr>
                <w:color w:val="000000"/>
                <w:kern w:val="22"/>
                <w:szCs w:val="22"/>
                <w:lang w:val="fr-FR" w:eastAsia="en-CA"/>
              </w:rPr>
              <w:t>-367.9</w:t>
            </w:r>
          </w:p>
        </w:tc>
        <w:tc>
          <w:tcPr>
            <w:tcW w:w="1350" w:type="dxa"/>
            <w:tcBorders>
              <w:top w:val="nil"/>
              <w:left w:val="nil"/>
              <w:bottom w:val="single" w:sz="4" w:space="0" w:color="auto"/>
              <w:right w:val="single" w:sz="4" w:space="0" w:color="auto"/>
            </w:tcBorders>
            <w:shd w:val="clear" w:color="auto" w:fill="auto"/>
            <w:vAlign w:val="center"/>
            <w:hideMark/>
          </w:tcPr>
          <w:p w14:paraId="3C9CDCA1" w14:textId="4E310ABE" w:rsidR="00315701" w:rsidRPr="002C5E27" w:rsidRDefault="00315701" w:rsidP="00315701">
            <w:pPr>
              <w:jc w:val="right"/>
              <w:rPr>
                <w:color w:val="000000"/>
                <w:kern w:val="22"/>
                <w:szCs w:val="22"/>
                <w:lang w:val="fr-FR" w:eastAsia="en-CA"/>
              </w:rPr>
            </w:pPr>
          </w:p>
        </w:tc>
        <w:tc>
          <w:tcPr>
            <w:tcW w:w="900" w:type="dxa"/>
            <w:tcBorders>
              <w:top w:val="nil"/>
              <w:left w:val="nil"/>
              <w:bottom w:val="single" w:sz="4" w:space="0" w:color="auto"/>
              <w:right w:val="single" w:sz="4" w:space="0" w:color="auto"/>
            </w:tcBorders>
            <w:shd w:val="clear" w:color="auto" w:fill="auto"/>
            <w:vAlign w:val="center"/>
            <w:hideMark/>
          </w:tcPr>
          <w:p w14:paraId="68C8EAD2" w14:textId="77777777" w:rsidR="00315701" w:rsidRPr="002C5E27" w:rsidRDefault="00315701" w:rsidP="00315701">
            <w:pPr>
              <w:jc w:val="center"/>
              <w:rPr>
                <w:color w:val="000000"/>
                <w:kern w:val="22"/>
                <w:szCs w:val="22"/>
                <w:lang w:val="fr-FR" w:eastAsia="en-CA"/>
              </w:rPr>
            </w:pPr>
            <w:r w:rsidRPr="002C5E27">
              <w:rPr>
                <w:color w:val="000000"/>
                <w:kern w:val="22"/>
                <w:szCs w:val="22"/>
                <w:lang w:val="fr-FR" w:eastAsia="en-CA"/>
              </w:rPr>
              <w:t> </w:t>
            </w:r>
          </w:p>
        </w:tc>
      </w:tr>
      <w:tr w:rsidR="00315701" w:rsidRPr="002C5E27" w14:paraId="2DCC5D0E" w14:textId="77777777" w:rsidTr="002C5E27">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42CA3A44" w14:textId="1B0A8BC5" w:rsidR="00315701" w:rsidRPr="002C5E27" w:rsidRDefault="00315701" w:rsidP="00315701">
            <w:pPr>
              <w:rPr>
                <w:b/>
                <w:bCs/>
                <w:color w:val="000000"/>
                <w:kern w:val="22"/>
                <w:szCs w:val="22"/>
                <w:lang w:val="fr-FR" w:eastAsia="en-CA"/>
              </w:rPr>
            </w:pPr>
            <w:r w:rsidRPr="002C5E27">
              <w:rPr>
                <w:b/>
                <w:bCs/>
                <w:color w:val="000000"/>
                <w:kern w:val="22"/>
                <w:szCs w:val="22"/>
                <w:lang w:val="fr-FR" w:eastAsia="en-CA"/>
              </w:rPr>
              <w:t>Total (II + III)</w:t>
            </w:r>
          </w:p>
        </w:tc>
        <w:tc>
          <w:tcPr>
            <w:tcW w:w="1260" w:type="dxa"/>
            <w:tcBorders>
              <w:top w:val="nil"/>
              <w:left w:val="nil"/>
              <w:bottom w:val="single" w:sz="4" w:space="0" w:color="auto"/>
              <w:right w:val="single" w:sz="4" w:space="0" w:color="auto"/>
            </w:tcBorders>
            <w:shd w:val="clear" w:color="auto" w:fill="auto"/>
            <w:vAlign w:val="center"/>
            <w:hideMark/>
          </w:tcPr>
          <w:p w14:paraId="632A277B" w14:textId="77777777" w:rsidR="00315701" w:rsidRPr="002C5E27" w:rsidRDefault="00315701" w:rsidP="00315701">
            <w:pPr>
              <w:jc w:val="right"/>
              <w:rPr>
                <w:b/>
                <w:bCs/>
                <w:color w:val="000000"/>
                <w:kern w:val="22"/>
                <w:szCs w:val="22"/>
                <w:lang w:val="fr-FR" w:eastAsia="en-CA"/>
              </w:rPr>
            </w:pPr>
            <w:r w:rsidRPr="002C5E27">
              <w:rPr>
                <w:b/>
                <w:bCs/>
                <w:color w:val="000000"/>
                <w:kern w:val="22"/>
                <w:szCs w:val="22"/>
                <w:lang w:val="fr-FR" w:eastAsia="en-CA"/>
              </w:rPr>
              <w:t>19,895.1</w:t>
            </w:r>
          </w:p>
        </w:tc>
        <w:tc>
          <w:tcPr>
            <w:tcW w:w="1620" w:type="dxa"/>
            <w:tcBorders>
              <w:top w:val="nil"/>
              <w:left w:val="nil"/>
              <w:bottom w:val="single" w:sz="4" w:space="0" w:color="auto"/>
              <w:right w:val="single" w:sz="4" w:space="0" w:color="auto"/>
            </w:tcBorders>
            <w:shd w:val="clear" w:color="auto" w:fill="auto"/>
            <w:vAlign w:val="center"/>
            <w:hideMark/>
          </w:tcPr>
          <w:p w14:paraId="63397F49" w14:textId="77777777" w:rsidR="00315701" w:rsidRPr="002C5E27" w:rsidRDefault="00315701" w:rsidP="00315701">
            <w:pPr>
              <w:jc w:val="right"/>
              <w:rPr>
                <w:b/>
                <w:bCs/>
                <w:color w:val="000000"/>
                <w:kern w:val="22"/>
                <w:szCs w:val="22"/>
                <w:lang w:val="fr-FR" w:eastAsia="en-CA"/>
              </w:rPr>
            </w:pPr>
            <w:r w:rsidRPr="002C5E27">
              <w:rPr>
                <w:b/>
                <w:bCs/>
                <w:color w:val="000000"/>
                <w:kern w:val="22"/>
                <w:szCs w:val="22"/>
                <w:lang w:val="fr-FR" w:eastAsia="en-CA"/>
              </w:rPr>
              <w:t>16,943.8</w:t>
            </w:r>
          </w:p>
        </w:tc>
        <w:tc>
          <w:tcPr>
            <w:tcW w:w="1350" w:type="dxa"/>
            <w:tcBorders>
              <w:top w:val="nil"/>
              <w:left w:val="nil"/>
              <w:bottom w:val="single" w:sz="4" w:space="0" w:color="auto"/>
              <w:right w:val="single" w:sz="4" w:space="0" w:color="auto"/>
            </w:tcBorders>
            <w:shd w:val="clear" w:color="auto" w:fill="auto"/>
            <w:vAlign w:val="center"/>
            <w:hideMark/>
          </w:tcPr>
          <w:p w14:paraId="2FD4F90C" w14:textId="4A76098B" w:rsidR="00315701" w:rsidRPr="002C5E27" w:rsidRDefault="00DB2109" w:rsidP="00315701">
            <w:pPr>
              <w:jc w:val="right"/>
              <w:rPr>
                <w:b/>
                <w:bCs/>
                <w:color w:val="000000"/>
                <w:kern w:val="22"/>
                <w:szCs w:val="22"/>
                <w:lang w:val="fr-FR" w:eastAsia="en-CA"/>
              </w:rPr>
            </w:pPr>
            <w:r w:rsidRPr="002C5E27">
              <w:rPr>
                <w:b/>
                <w:bCs/>
                <w:color w:val="000000"/>
                <w:kern w:val="22"/>
                <w:szCs w:val="22"/>
                <w:lang w:val="fr-FR" w:eastAsia="en-CA"/>
              </w:rPr>
              <w:t>-2,452.7</w:t>
            </w:r>
          </w:p>
        </w:tc>
        <w:tc>
          <w:tcPr>
            <w:tcW w:w="900" w:type="dxa"/>
            <w:tcBorders>
              <w:top w:val="nil"/>
              <w:left w:val="nil"/>
              <w:bottom w:val="single" w:sz="4" w:space="0" w:color="auto"/>
              <w:right w:val="single" w:sz="4" w:space="0" w:color="auto"/>
            </w:tcBorders>
            <w:shd w:val="clear" w:color="auto" w:fill="auto"/>
            <w:vAlign w:val="center"/>
            <w:hideMark/>
          </w:tcPr>
          <w:p w14:paraId="18631FEC" w14:textId="77777777" w:rsidR="00315701" w:rsidRPr="002C5E27" w:rsidRDefault="00315701" w:rsidP="00315701">
            <w:pPr>
              <w:jc w:val="center"/>
              <w:rPr>
                <w:b/>
                <w:bCs/>
                <w:color w:val="000000"/>
                <w:kern w:val="22"/>
                <w:szCs w:val="22"/>
                <w:lang w:val="fr-FR" w:eastAsia="en-CA"/>
              </w:rPr>
            </w:pPr>
            <w:r w:rsidRPr="002C5E27">
              <w:rPr>
                <w:b/>
                <w:bCs/>
                <w:color w:val="000000"/>
                <w:kern w:val="22"/>
                <w:szCs w:val="22"/>
                <w:lang w:val="fr-FR" w:eastAsia="en-CA"/>
              </w:rPr>
              <w:t> </w:t>
            </w:r>
          </w:p>
        </w:tc>
      </w:tr>
      <w:tr w:rsidR="00315701" w:rsidRPr="002C5E27" w14:paraId="2CD1B3BF" w14:textId="77777777" w:rsidTr="002C5E27">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141A9E08" w14:textId="093B38D5" w:rsidR="00315701" w:rsidRPr="002C5E27" w:rsidRDefault="00516B1C" w:rsidP="00315701">
            <w:pPr>
              <w:rPr>
                <w:color w:val="000000"/>
                <w:kern w:val="22"/>
                <w:szCs w:val="22"/>
                <w:lang w:val="fr-FR" w:eastAsia="en-CA"/>
              </w:rPr>
            </w:pPr>
            <w:r w:rsidRPr="002C5E27">
              <w:rPr>
                <w:color w:val="000000"/>
                <w:kern w:val="22"/>
                <w:szCs w:val="22"/>
                <w:lang w:val="fr-FR" w:eastAsia="en-CA"/>
              </w:rPr>
              <w:t xml:space="preserve">Moins </w:t>
            </w:r>
            <w:r w:rsidR="000A5F84" w:rsidRPr="002C5E27">
              <w:rPr>
                <w:color w:val="000000"/>
                <w:kern w:val="22"/>
                <w:szCs w:val="22"/>
                <w:lang w:val="fr-FR" w:eastAsia="en-CA"/>
              </w:rPr>
              <w:t>la c</w:t>
            </w:r>
            <w:r w:rsidRPr="002C5E27">
              <w:rPr>
                <w:color w:val="000000"/>
                <w:kern w:val="22"/>
                <w:szCs w:val="22"/>
                <w:lang w:val="fr-FR" w:eastAsia="en-CA"/>
              </w:rPr>
              <w:t xml:space="preserve">ontribution du pays </w:t>
            </w:r>
            <w:r w:rsidR="0067294A" w:rsidRPr="002C5E27">
              <w:rPr>
                <w:color w:val="000000"/>
                <w:kern w:val="22"/>
                <w:szCs w:val="22"/>
                <w:lang w:val="fr-FR" w:eastAsia="en-CA"/>
              </w:rPr>
              <w:t>hôte</w:t>
            </w:r>
          </w:p>
        </w:tc>
        <w:tc>
          <w:tcPr>
            <w:tcW w:w="1260" w:type="dxa"/>
            <w:tcBorders>
              <w:top w:val="nil"/>
              <w:left w:val="nil"/>
              <w:bottom w:val="single" w:sz="4" w:space="0" w:color="auto"/>
              <w:right w:val="single" w:sz="4" w:space="0" w:color="auto"/>
            </w:tcBorders>
            <w:shd w:val="clear" w:color="auto" w:fill="auto"/>
            <w:vAlign w:val="center"/>
            <w:hideMark/>
          </w:tcPr>
          <w:p w14:paraId="5C2D585E" w14:textId="77777777" w:rsidR="00315701" w:rsidRPr="002C5E27" w:rsidRDefault="00315701" w:rsidP="00315701">
            <w:pPr>
              <w:jc w:val="right"/>
              <w:rPr>
                <w:color w:val="000000"/>
                <w:kern w:val="22"/>
                <w:szCs w:val="22"/>
                <w:lang w:val="fr-FR" w:eastAsia="en-CA"/>
              </w:rPr>
            </w:pPr>
            <w:r w:rsidRPr="002C5E27">
              <w:rPr>
                <w:color w:val="000000"/>
                <w:kern w:val="22"/>
                <w:szCs w:val="22"/>
                <w:lang w:val="fr-FR" w:eastAsia="en-CA"/>
              </w:rPr>
              <w:t>-1,423.4</w:t>
            </w:r>
          </w:p>
        </w:tc>
        <w:tc>
          <w:tcPr>
            <w:tcW w:w="1620" w:type="dxa"/>
            <w:tcBorders>
              <w:top w:val="nil"/>
              <w:left w:val="nil"/>
              <w:bottom w:val="single" w:sz="4" w:space="0" w:color="auto"/>
              <w:right w:val="single" w:sz="4" w:space="0" w:color="auto"/>
            </w:tcBorders>
            <w:shd w:val="clear" w:color="auto" w:fill="auto"/>
            <w:vAlign w:val="center"/>
            <w:hideMark/>
          </w:tcPr>
          <w:p w14:paraId="52A40895" w14:textId="77777777" w:rsidR="00315701" w:rsidRPr="002C5E27" w:rsidRDefault="00315701" w:rsidP="00315701">
            <w:pPr>
              <w:jc w:val="right"/>
              <w:rPr>
                <w:color w:val="000000"/>
                <w:kern w:val="22"/>
                <w:szCs w:val="22"/>
                <w:lang w:val="fr-FR" w:eastAsia="en-CA"/>
              </w:rPr>
            </w:pPr>
            <w:r w:rsidRPr="002C5E27">
              <w:rPr>
                <w:color w:val="000000"/>
                <w:kern w:val="22"/>
                <w:szCs w:val="22"/>
                <w:lang w:val="fr-FR" w:eastAsia="en-CA"/>
              </w:rPr>
              <w:t>-1,534.8</w:t>
            </w:r>
          </w:p>
        </w:tc>
        <w:tc>
          <w:tcPr>
            <w:tcW w:w="1350" w:type="dxa"/>
            <w:tcBorders>
              <w:top w:val="nil"/>
              <w:left w:val="nil"/>
              <w:bottom w:val="single" w:sz="4" w:space="0" w:color="auto"/>
              <w:right w:val="single" w:sz="4" w:space="0" w:color="auto"/>
            </w:tcBorders>
            <w:shd w:val="clear" w:color="auto" w:fill="auto"/>
            <w:vAlign w:val="center"/>
          </w:tcPr>
          <w:p w14:paraId="79EA0E52" w14:textId="79D84CCF" w:rsidR="00315701" w:rsidRPr="002C5E27" w:rsidRDefault="00315701" w:rsidP="00315701">
            <w:pPr>
              <w:jc w:val="right"/>
              <w:rPr>
                <w:color w:val="000000"/>
                <w:kern w:val="22"/>
                <w:szCs w:val="22"/>
                <w:lang w:val="fr-FR" w:eastAsia="en-CA"/>
              </w:rPr>
            </w:pPr>
          </w:p>
        </w:tc>
        <w:tc>
          <w:tcPr>
            <w:tcW w:w="900" w:type="dxa"/>
            <w:tcBorders>
              <w:top w:val="nil"/>
              <w:left w:val="nil"/>
              <w:bottom w:val="single" w:sz="4" w:space="0" w:color="auto"/>
              <w:right w:val="single" w:sz="4" w:space="0" w:color="auto"/>
            </w:tcBorders>
            <w:shd w:val="clear" w:color="auto" w:fill="auto"/>
            <w:vAlign w:val="center"/>
            <w:hideMark/>
          </w:tcPr>
          <w:p w14:paraId="233469F5" w14:textId="7209E41A" w:rsidR="00315701" w:rsidRPr="002C5E27" w:rsidRDefault="00315701" w:rsidP="00315701">
            <w:pPr>
              <w:jc w:val="center"/>
              <w:rPr>
                <w:color w:val="000000"/>
                <w:kern w:val="22"/>
                <w:szCs w:val="22"/>
                <w:lang w:val="fr-FR" w:eastAsia="en-CA"/>
              </w:rPr>
            </w:pPr>
            <w:r w:rsidRPr="002C5E27">
              <w:rPr>
                <w:color w:val="000000"/>
                <w:kern w:val="22"/>
                <w:szCs w:val="22"/>
                <w:lang w:val="fr-FR" w:eastAsia="en-CA"/>
              </w:rPr>
              <w:t>6</w:t>
            </w:r>
          </w:p>
        </w:tc>
      </w:tr>
      <w:tr w:rsidR="00315701" w:rsidRPr="002C5E27" w14:paraId="13004605" w14:textId="77777777" w:rsidTr="002C5E27">
        <w:trPr>
          <w:trHeight w:val="48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03E974C4" w14:textId="0720B8D9" w:rsidR="00315701" w:rsidRPr="002C5E27" w:rsidRDefault="00516B1C" w:rsidP="00315701">
            <w:pPr>
              <w:rPr>
                <w:color w:val="000000"/>
                <w:kern w:val="22"/>
                <w:szCs w:val="22"/>
                <w:lang w:val="fr-FR" w:eastAsia="en-CA"/>
              </w:rPr>
            </w:pPr>
            <w:r w:rsidRPr="002C5E27">
              <w:rPr>
                <w:color w:val="000000"/>
                <w:kern w:val="22"/>
                <w:szCs w:val="22"/>
                <w:lang w:val="fr-FR" w:eastAsia="en-CA"/>
              </w:rPr>
              <w:t xml:space="preserve">Moins </w:t>
            </w:r>
            <w:r w:rsidR="000A5F84" w:rsidRPr="002C5E27">
              <w:rPr>
                <w:color w:val="000000"/>
                <w:kern w:val="22"/>
                <w:szCs w:val="22"/>
                <w:lang w:val="fr-FR" w:eastAsia="en-CA"/>
              </w:rPr>
              <w:t>l’utilisation</w:t>
            </w:r>
            <w:r w:rsidRPr="002C5E27">
              <w:rPr>
                <w:color w:val="000000"/>
                <w:kern w:val="22"/>
                <w:szCs w:val="22"/>
                <w:lang w:val="fr-FR" w:eastAsia="en-CA"/>
              </w:rPr>
              <w:t xml:space="preserve"> des réserves pour les réunions extraordinaires</w:t>
            </w:r>
          </w:p>
        </w:tc>
        <w:tc>
          <w:tcPr>
            <w:tcW w:w="1260" w:type="dxa"/>
            <w:tcBorders>
              <w:top w:val="nil"/>
              <w:left w:val="nil"/>
              <w:bottom w:val="single" w:sz="4" w:space="0" w:color="auto"/>
              <w:right w:val="single" w:sz="4" w:space="0" w:color="auto"/>
            </w:tcBorders>
            <w:shd w:val="clear" w:color="auto" w:fill="auto"/>
            <w:vAlign w:val="center"/>
            <w:hideMark/>
          </w:tcPr>
          <w:p w14:paraId="2E313688" w14:textId="77777777" w:rsidR="00315701" w:rsidRPr="002C5E27" w:rsidRDefault="00315701" w:rsidP="00315701">
            <w:pPr>
              <w:jc w:val="right"/>
              <w:rPr>
                <w:color w:val="000000"/>
                <w:kern w:val="22"/>
                <w:szCs w:val="22"/>
                <w:lang w:val="fr-FR" w:eastAsia="en-CA"/>
              </w:rPr>
            </w:pPr>
            <w:r w:rsidRPr="002C5E27">
              <w:rPr>
                <w:color w:val="000000"/>
                <w:kern w:val="22"/>
                <w:szCs w:val="22"/>
                <w:lang w:val="fr-FR" w:eastAsia="en-CA"/>
              </w:rPr>
              <w:t>-632.8</w:t>
            </w:r>
          </w:p>
        </w:tc>
        <w:tc>
          <w:tcPr>
            <w:tcW w:w="1620" w:type="dxa"/>
            <w:tcBorders>
              <w:top w:val="nil"/>
              <w:left w:val="nil"/>
              <w:bottom w:val="single" w:sz="4" w:space="0" w:color="auto"/>
              <w:right w:val="single" w:sz="4" w:space="0" w:color="auto"/>
            </w:tcBorders>
            <w:shd w:val="clear" w:color="auto" w:fill="auto"/>
            <w:vAlign w:val="center"/>
            <w:hideMark/>
          </w:tcPr>
          <w:p w14:paraId="3105C325" w14:textId="77777777" w:rsidR="00315701" w:rsidRPr="002C5E27" w:rsidRDefault="00315701" w:rsidP="00315701">
            <w:pPr>
              <w:jc w:val="right"/>
              <w:rPr>
                <w:b/>
                <w:bCs/>
                <w:color w:val="000000"/>
                <w:kern w:val="22"/>
                <w:szCs w:val="22"/>
                <w:lang w:val="fr-FR" w:eastAsia="en-CA"/>
              </w:rPr>
            </w:pPr>
            <w:r w:rsidRPr="002C5E27">
              <w:rPr>
                <w:b/>
                <w:bCs/>
                <w:color w:val="000000"/>
                <w:kern w:val="22"/>
                <w:szCs w:val="22"/>
                <w:lang w:val="fr-FR" w:eastAsia="en-CA"/>
              </w:rPr>
              <w:t> </w:t>
            </w:r>
          </w:p>
        </w:tc>
        <w:tc>
          <w:tcPr>
            <w:tcW w:w="1350" w:type="dxa"/>
            <w:tcBorders>
              <w:top w:val="nil"/>
              <w:left w:val="nil"/>
              <w:bottom w:val="single" w:sz="4" w:space="0" w:color="auto"/>
              <w:right w:val="single" w:sz="4" w:space="0" w:color="auto"/>
            </w:tcBorders>
            <w:shd w:val="clear" w:color="auto" w:fill="auto"/>
            <w:vAlign w:val="center"/>
          </w:tcPr>
          <w:p w14:paraId="451C1DB6" w14:textId="7A079D47" w:rsidR="00315701" w:rsidRPr="002C5E27" w:rsidRDefault="00315701" w:rsidP="00315701">
            <w:pPr>
              <w:jc w:val="right"/>
              <w:rPr>
                <w:color w:val="000000"/>
                <w:kern w:val="22"/>
                <w:szCs w:val="22"/>
                <w:lang w:val="fr-FR" w:eastAsia="en-CA"/>
              </w:rPr>
            </w:pPr>
          </w:p>
        </w:tc>
        <w:tc>
          <w:tcPr>
            <w:tcW w:w="900" w:type="dxa"/>
            <w:tcBorders>
              <w:top w:val="nil"/>
              <w:left w:val="nil"/>
              <w:bottom w:val="single" w:sz="4" w:space="0" w:color="auto"/>
              <w:right w:val="single" w:sz="4" w:space="0" w:color="auto"/>
            </w:tcBorders>
            <w:shd w:val="clear" w:color="auto" w:fill="auto"/>
            <w:vAlign w:val="center"/>
            <w:hideMark/>
          </w:tcPr>
          <w:p w14:paraId="62AC9C97" w14:textId="77777777" w:rsidR="00315701" w:rsidRPr="002C5E27" w:rsidRDefault="00315701" w:rsidP="00315701">
            <w:pPr>
              <w:jc w:val="center"/>
              <w:rPr>
                <w:b/>
                <w:bCs/>
                <w:color w:val="000000"/>
                <w:kern w:val="22"/>
                <w:szCs w:val="22"/>
                <w:lang w:val="fr-FR" w:eastAsia="en-CA"/>
              </w:rPr>
            </w:pPr>
            <w:r w:rsidRPr="002C5E27">
              <w:rPr>
                <w:b/>
                <w:bCs/>
                <w:color w:val="000000"/>
                <w:kern w:val="22"/>
                <w:szCs w:val="22"/>
                <w:lang w:val="fr-FR" w:eastAsia="en-CA"/>
              </w:rPr>
              <w:t> </w:t>
            </w:r>
          </w:p>
        </w:tc>
      </w:tr>
      <w:tr w:rsidR="00315701" w:rsidRPr="002C5E27" w14:paraId="10A61011" w14:textId="77777777" w:rsidTr="002C5E27">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0C8AD648" w14:textId="3BB1168B" w:rsidR="00315701" w:rsidRPr="002C5E27" w:rsidRDefault="00516B1C" w:rsidP="00315701">
            <w:pPr>
              <w:rPr>
                <w:color w:val="000000"/>
                <w:kern w:val="22"/>
                <w:szCs w:val="22"/>
                <w:lang w:val="fr-FR" w:eastAsia="en-CA"/>
              </w:rPr>
            </w:pPr>
            <w:r w:rsidRPr="002C5E27">
              <w:rPr>
                <w:color w:val="000000"/>
                <w:kern w:val="22"/>
                <w:szCs w:val="22"/>
                <w:lang w:val="fr-FR" w:eastAsia="en-CA"/>
              </w:rPr>
              <w:t xml:space="preserve">Moins </w:t>
            </w:r>
            <w:r w:rsidR="000A5F84" w:rsidRPr="002C5E27">
              <w:rPr>
                <w:color w:val="000000"/>
                <w:kern w:val="22"/>
                <w:szCs w:val="22"/>
                <w:lang w:val="fr-FR" w:eastAsia="en-CA"/>
              </w:rPr>
              <w:t>l’u</w:t>
            </w:r>
            <w:r w:rsidRPr="002C5E27">
              <w:rPr>
                <w:color w:val="000000"/>
                <w:kern w:val="22"/>
                <w:szCs w:val="22"/>
                <w:lang w:val="fr-FR" w:eastAsia="en-CA"/>
              </w:rPr>
              <w:t>tilisation des réserves des années précédentes</w:t>
            </w:r>
          </w:p>
        </w:tc>
        <w:tc>
          <w:tcPr>
            <w:tcW w:w="1260" w:type="dxa"/>
            <w:tcBorders>
              <w:top w:val="nil"/>
              <w:left w:val="nil"/>
              <w:bottom w:val="single" w:sz="4" w:space="0" w:color="auto"/>
              <w:right w:val="single" w:sz="4" w:space="0" w:color="auto"/>
            </w:tcBorders>
            <w:shd w:val="clear" w:color="auto" w:fill="auto"/>
            <w:vAlign w:val="center"/>
            <w:hideMark/>
          </w:tcPr>
          <w:p w14:paraId="454B3EEE" w14:textId="77777777" w:rsidR="00315701" w:rsidRPr="002C5E27" w:rsidRDefault="00315701" w:rsidP="00315701">
            <w:pPr>
              <w:jc w:val="right"/>
              <w:rPr>
                <w:color w:val="000000"/>
                <w:kern w:val="22"/>
                <w:szCs w:val="22"/>
                <w:lang w:val="fr-FR" w:eastAsia="en-CA"/>
              </w:rPr>
            </w:pPr>
            <w:r w:rsidRPr="002C5E27">
              <w:rPr>
                <w:color w:val="000000"/>
                <w:kern w:val="22"/>
                <w:szCs w:val="22"/>
                <w:lang w:val="fr-FR" w:eastAsia="en-CA"/>
              </w:rPr>
              <w:t>-863.1</w:t>
            </w:r>
          </w:p>
        </w:tc>
        <w:tc>
          <w:tcPr>
            <w:tcW w:w="1620" w:type="dxa"/>
            <w:tcBorders>
              <w:top w:val="nil"/>
              <w:left w:val="nil"/>
              <w:bottom w:val="single" w:sz="4" w:space="0" w:color="auto"/>
              <w:right w:val="single" w:sz="4" w:space="0" w:color="auto"/>
            </w:tcBorders>
            <w:shd w:val="clear" w:color="auto" w:fill="auto"/>
            <w:vAlign w:val="center"/>
            <w:hideMark/>
          </w:tcPr>
          <w:p w14:paraId="72BA01D5" w14:textId="77777777" w:rsidR="00315701" w:rsidRPr="002C5E27" w:rsidRDefault="00315701" w:rsidP="00315701">
            <w:pPr>
              <w:jc w:val="right"/>
              <w:rPr>
                <w:b/>
                <w:bCs/>
                <w:color w:val="000000"/>
                <w:kern w:val="22"/>
                <w:szCs w:val="22"/>
                <w:lang w:val="fr-FR" w:eastAsia="en-CA"/>
              </w:rPr>
            </w:pPr>
            <w:r w:rsidRPr="002C5E27">
              <w:rPr>
                <w:b/>
                <w:bCs/>
                <w:color w:val="000000"/>
                <w:kern w:val="22"/>
                <w:szCs w:val="22"/>
                <w:lang w:val="fr-FR" w:eastAsia="en-CA"/>
              </w:rPr>
              <w:t> </w:t>
            </w:r>
          </w:p>
        </w:tc>
        <w:tc>
          <w:tcPr>
            <w:tcW w:w="1350" w:type="dxa"/>
            <w:tcBorders>
              <w:top w:val="nil"/>
              <w:left w:val="nil"/>
              <w:bottom w:val="single" w:sz="4" w:space="0" w:color="auto"/>
              <w:right w:val="single" w:sz="4" w:space="0" w:color="auto"/>
            </w:tcBorders>
            <w:shd w:val="clear" w:color="auto" w:fill="auto"/>
            <w:vAlign w:val="center"/>
          </w:tcPr>
          <w:p w14:paraId="64E52C42" w14:textId="1129A535" w:rsidR="00315701" w:rsidRPr="002C5E27" w:rsidRDefault="00315701" w:rsidP="00315701">
            <w:pPr>
              <w:jc w:val="right"/>
              <w:rPr>
                <w:color w:val="000000"/>
                <w:kern w:val="22"/>
                <w:szCs w:val="22"/>
                <w:lang w:val="fr-FR" w:eastAsia="en-CA"/>
              </w:rPr>
            </w:pPr>
          </w:p>
        </w:tc>
        <w:tc>
          <w:tcPr>
            <w:tcW w:w="900" w:type="dxa"/>
            <w:tcBorders>
              <w:top w:val="nil"/>
              <w:left w:val="nil"/>
              <w:bottom w:val="single" w:sz="4" w:space="0" w:color="auto"/>
              <w:right w:val="single" w:sz="4" w:space="0" w:color="auto"/>
            </w:tcBorders>
            <w:shd w:val="clear" w:color="auto" w:fill="auto"/>
            <w:vAlign w:val="center"/>
            <w:hideMark/>
          </w:tcPr>
          <w:p w14:paraId="46DFBEC3" w14:textId="77777777" w:rsidR="00315701" w:rsidRPr="002C5E27" w:rsidRDefault="00315701" w:rsidP="00315701">
            <w:pPr>
              <w:jc w:val="center"/>
              <w:rPr>
                <w:b/>
                <w:bCs/>
                <w:color w:val="000000"/>
                <w:kern w:val="22"/>
                <w:szCs w:val="22"/>
                <w:lang w:val="fr-FR" w:eastAsia="en-CA"/>
              </w:rPr>
            </w:pPr>
            <w:r w:rsidRPr="002C5E27">
              <w:rPr>
                <w:b/>
                <w:bCs/>
                <w:color w:val="000000"/>
                <w:kern w:val="22"/>
                <w:szCs w:val="22"/>
                <w:lang w:val="fr-FR" w:eastAsia="en-CA"/>
              </w:rPr>
              <w:t> </w:t>
            </w:r>
          </w:p>
        </w:tc>
      </w:tr>
      <w:tr w:rsidR="00315701" w:rsidRPr="002C5E27" w14:paraId="702C7F79" w14:textId="77777777" w:rsidTr="002C5E27">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4DC30BC1" w14:textId="35BCDE26" w:rsidR="00315701" w:rsidRPr="002C5E27" w:rsidRDefault="00516B1C" w:rsidP="00315701">
            <w:pPr>
              <w:rPr>
                <w:b/>
                <w:bCs/>
                <w:color w:val="000000"/>
                <w:kern w:val="22"/>
                <w:szCs w:val="22"/>
                <w:lang w:val="fr-FR" w:eastAsia="en-CA"/>
              </w:rPr>
            </w:pPr>
            <w:r w:rsidRPr="002C5E27">
              <w:rPr>
                <w:b/>
                <w:bCs/>
                <w:color w:val="000000"/>
                <w:kern w:val="22"/>
                <w:szCs w:val="22"/>
                <w:lang w:val="fr-FR" w:eastAsia="en-CA"/>
              </w:rPr>
              <w:t xml:space="preserve">Total net (montant à </w:t>
            </w:r>
            <w:r w:rsidR="00D57DDD" w:rsidRPr="002C5E27">
              <w:rPr>
                <w:b/>
                <w:bCs/>
                <w:color w:val="000000"/>
                <w:kern w:val="22"/>
                <w:szCs w:val="22"/>
                <w:lang w:val="fr-FR" w:eastAsia="en-CA"/>
              </w:rPr>
              <w:t>répartir</w:t>
            </w:r>
            <w:r w:rsidRPr="002C5E27">
              <w:rPr>
                <w:b/>
                <w:bCs/>
                <w:color w:val="000000"/>
                <w:kern w:val="22"/>
                <w:szCs w:val="22"/>
                <w:lang w:val="fr-FR" w:eastAsia="en-CA"/>
              </w:rPr>
              <w:t xml:space="preserve"> entre les Parties)</w:t>
            </w:r>
          </w:p>
        </w:tc>
        <w:tc>
          <w:tcPr>
            <w:tcW w:w="1260" w:type="dxa"/>
            <w:tcBorders>
              <w:top w:val="nil"/>
              <w:left w:val="nil"/>
              <w:bottom w:val="single" w:sz="4" w:space="0" w:color="auto"/>
              <w:right w:val="single" w:sz="4" w:space="0" w:color="auto"/>
            </w:tcBorders>
            <w:shd w:val="clear" w:color="auto" w:fill="auto"/>
            <w:vAlign w:val="center"/>
            <w:hideMark/>
          </w:tcPr>
          <w:p w14:paraId="4EA6D210" w14:textId="77777777" w:rsidR="00315701" w:rsidRPr="002C5E27" w:rsidRDefault="00315701" w:rsidP="00315701">
            <w:pPr>
              <w:jc w:val="right"/>
              <w:rPr>
                <w:b/>
                <w:bCs/>
                <w:color w:val="000000"/>
                <w:kern w:val="22"/>
                <w:szCs w:val="22"/>
                <w:lang w:val="fr-FR" w:eastAsia="en-CA"/>
              </w:rPr>
            </w:pPr>
            <w:r w:rsidRPr="002C5E27">
              <w:rPr>
                <w:b/>
                <w:bCs/>
                <w:color w:val="000000"/>
                <w:kern w:val="22"/>
                <w:szCs w:val="22"/>
                <w:lang w:val="fr-FR" w:eastAsia="en-CA"/>
              </w:rPr>
              <w:t>16,975.8</w:t>
            </w:r>
          </w:p>
        </w:tc>
        <w:tc>
          <w:tcPr>
            <w:tcW w:w="1620" w:type="dxa"/>
            <w:tcBorders>
              <w:top w:val="nil"/>
              <w:left w:val="nil"/>
              <w:bottom w:val="single" w:sz="4" w:space="0" w:color="auto"/>
              <w:right w:val="single" w:sz="4" w:space="0" w:color="auto"/>
            </w:tcBorders>
            <w:shd w:val="clear" w:color="auto" w:fill="auto"/>
            <w:vAlign w:val="center"/>
            <w:hideMark/>
          </w:tcPr>
          <w:p w14:paraId="70D59FAE" w14:textId="77777777" w:rsidR="00315701" w:rsidRPr="002C5E27" w:rsidRDefault="00315701" w:rsidP="00315701">
            <w:pPr>
              <w:jc w:val="right"/>
              <w:rPr>
                <w:b/>
                <w:bCs/>
                <w:color w:val="000000"/>
                <w:kern w:val="22"/>
                <w:szCs w:val="22"/>
                <w:lang w:val="fr-FR" w:eastAsia="en-CA"/>
              </w:rPr>
            </w:pPr>
            <w:r w:rsidRPr="002C5E27">
              <w:rPr>
                <w:b/>
                <w:bCs/>
                <w:color w:val="000000"/>
                <w:kern w:val="22"/>
                <w:szCs w:val="22"/>
                <w:lang w:val="fr-FR" w:eastAsia="en-CA"/>
              </w:rPr>
              <w:t>15,409.0</w:t>
            </w:r>
          </w:p>
        </w:tc>
        <w:tc>
          <w:tcPr>
            <w:tcW w:w="1350" w:type="dxa"/>
            <w:tcBorders>
              <w:top w:val="nil"/>
              <w:left w:val="nil"/>
              <w:bottom w:val="single" w:sz="4" w:space="0" w:color="auto"/>
              <w:right w:val="single" w:sz="4" w:space="0" w:color="auto"/>
            </w:tcBorders>
            <w:shd w:val="clear" w:color="auto" w:fill="auto"/>
            <w:vAlign w:val="center"/>
          </w:tcPr>
          <w:p w14:paraId="4E5BB751" w14:textId="05B391D6" w:rsidR="00315701" w:rsidRPr="002C5E27" w:rsidRDefault="00315701" w:rsidP="00315701">
            <w:pPr>
              <w:jc w:val="right"/>
              <w:rPr>
                <w:b/>
                <w:bCs/>
                <w:color w:val="000000"/>
                <w:kern w:val="22"/>
                <w:szCs w:val="22"/>
                <w:lang w:val="fr-FR" w:eastAsia="en-CA"/>
              </w:rPr>
            </w:pPr>
          </w:p>
        </w:tc>
        <w:tc>
          <w:tcPr>
            <w:tcW w:w="900" w:type="dxa"/>
            <w:tcBorders>
              <w:top w:val="nil"/>
              <w:left w:val="nil"/>
              <w:bottom w:val="single" w:sz="4" w:space="0" w:color="auto"/>
              <w:right w:val="single" w:sz="4" w:space="0" w:color="auto"/>
            </w:tcBorders>
            <w:shd w:val="clear" w:color="auto" w:fill="auto"/>
            <w:vAlign w:val="center"/>
            <w:hideMark/>
          </w:tcPr>
          <w:p w14:paraId="2F9487DA" w14:textId="77777777" w:rsidR="00315701" w:rsidRPr="002C5E27" w:rsidRDefault="00315701" w:rsidP="00315701">
            <w:pPr>
              <w:jc w:val="right"/>
              <w:rPr>
                <w:b/>
                <w:bCs/>
                <w:color w:val="000000"/>
                <w:kern w:val="22"/>
                <w:szCs w:val="22"/>
                <w:lang w:val="fr-FR" w:eastAsia="en-CA"/>
              </w:rPr>
            </w:pPr>
            <w:r w:rsidRPr="002C5E27">
              <w:rPr>
                <w:b/>
                <w:bCs/>
                <w:color w:val="000000"/>
                <w:kern w:val="22"/>
                <w:szCs w:val="22"/>
                <w:lang w:val="fr-FR" w:eastAsia="en-CA"/>
              </w:rPr>
              <w:t> </w:t>
            </w:r>
          </w:p>
        </w:tc>
      </w:tr>
      <w:tr w:rsidR="00315701" w:rsidRPr="002C5E27" w14:paraId="1EE4AE90" w14:textId="77777777" w:rsidTr="002C5E27">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76233785" w14:textId="5C0B3C03" w:rsidR="00315701" w:rsidRPr="002C5E27" w:rsidRDefault="00516B1C" w:rsidP="00315701">
            <w:pPr>
              <w:rPr>
                <w:color w:val="000000"/>
                <w:kern w:val="22"/>
                <w:szCs w:val="22"/>
                <w:lang w:val="fr-FR" w:eastAsia="en-CA"/>
              </w:rPr>
            </w:pPr>
            <w:r w:rsidRPr="002C5E27">
              <w:rPr>
                <w:color w:val="000000"/>
                <w:kern w:val="22"/>
                <w:szCs w:val="22"/>
                <w:lang w:val="fr-FR" w:eastAsia="en-CA"/>
              </w:rPr>
              <w:t>Part de la Convention dans le budget intérimaire (74%)</w:t>
            </w:r>
          </w:p>
        </w:tc>
        <w:tc>
          <w:tcPr>
            <w:tcW w:w="1260" w:type="dxa"/>
            <w:tcBorders>
              <w:top w:val="nil"/>
              <w:left w:val="nil"/>
              <w:bottom w:val="single" w:sz="4" w:space="0" w:color="auto"/>
              <w:right w:val="single" w:sz="4" w:space="0" w:color="auto"/>
            </w:tcBorders>
            <w:shd w:val="clear" w:color="auto" w:fill="auto"/>
            <w:vAlign w:val="center"/>
            <w:hideMark/>
          </w:tcPr>
          <w:p w14:paraId="4015DF2E" w14:textId="77777777" w:rsidR="00315701" w:rsidRPr="002C5E27" w:rsidRDefault="00315701" w:rsidP="00315701">
            <w:pPr>
              <w:jc w:val="right"/>
              <w:rPr>
                <w:color w:val="000000"/>
                <w:kern w:val="22"/>
                <w:szCs w:val="22"/>
                <w:lang w:val="fr-FR" w:eastAsia="en-CA"/>
              </w:rPr>
            </w:pPr>
            <w:r w:rsidRPr="002C5E27">
              <w:rPr>
                <w:color w:val="000000"/>
                <w:kern w:val="22"/>
                <w:szCs w:val="22"/>
                <w:lang w:val="fr-FR" w:eastAsia="en-CA"/>
              </w:rPr>
              <w:t>12,562.1</w:t>
            </w:r>
          </w:p>
        </w:tc>
        <w:tc>
          <w:tcPr>
            <w:tcW w:w="1620" w:type="dxa"/>
            <w:tcBorders>
              <w:top w:val="nil"/>
              <w:left w:val="nil"/>
              <w:bottom w:val="single" w:sz="4" w:space="0" w:color="auto"/>
              <w:right w:val="single" w:sz="4" w:space="0" w:color="auto"/>
            </w:tcBorders>
            <w:shd w:val="clear" w:color="auto" w:fill="auto"/>
            <w:vAlign w:val="center"/>
            <w:hideMark/>
          </w:tcPr>
          <w:p w14:paraId="221FB6EA" w14:textId="77777777" w:rsidR="00315701" w:rsidRPr="002C5E27" w:rsidRDefault="00315701" w:rsidP="00315701">
            <w:pPr>
              <w:jc w:val="right"/>
              <w:rPr>
                <w:color w:val="000000"/>
                <w:kern w:val="22"/>
                <w:szCs w:val="22"/>
                <w:lang w:val="fr-FR" w:eastAsia="en-CA"/>
              </w:rPr>
            </w:pPr>
            <w:r w:rsidRPr="002C5E27">
              <w:rPr>
                <w:color w:val="000000"/>
                <w:kern w:val="22"/>
                <w:szCs w:val="22"/>
                <w:lang w:val="fr-FR" w:eastAsia="en-CA"/>
              </w:rPr>
              <w:t>11,402.7</w:t>
            </w:r>
          </w:p>
        </w:tc>
        <w:tc>
          <w:tcPr>
            <w:tcW w:w="1350" w:type="dxa"/>
            <w:tcBorders>
              <w:top w:val="nil"/>
              <w:left w:val="nil"/>
              <w:bottom w:val="single" w:sz="4" w:space="0" w:color="auto"/>
              <w:right w:val="single" w:sz="4" w:space="0" w:color="auto"/>
            </w:tcBorders>
            <w:shd w:val="clear" w:color="auto" w:fill="auto"/>
            <w:vAlign w:val="center"/>
            <w:hideMark/>
          </w:tcPr>
          <w:p w14:paraId="35B8E242" w14:textId="77777777" w:rsidR="00315701" w:rsidRPr="002C5E27" w:rsidRDefault="00315701" w:rsidP="00315701">
            <w:pPr>
              <w:jc w:val="right"/>
              <w:rPr>
                <w:color w:val="000000"/>
                <w:kern w:val="22"/>
                <w:szCs w:val="22"/>
                <w:lang w:val="fr-FR" w:eastAsia="en-CA"/>
              </w:rPr>
            </w:pPr>
            <w:r w:rsidRPr="002C5E27">
              <w:rPr>
                <w:color w:val="000000"/>
                <w:kern w:val="22"/>
                <w:szCs w:val="22"/>
                <w:lang w:val="fr-FR" w:eastAsia="en-CA"/>
              </w:rPr>
              <w:t> </w:t>
            </w:r>
          </w:p>
        </w:tc>
        <w:tc>
          <w:tcPr>
            <w:tcW w:w="900" w:type="dxa"/>
            <w:tcBorders>
              <w:top w:val="nil"/>
              <w:left w:val="nil"/>
              <w:bottom w:val="single" w:sz="4" w:space="0" w:color="auto"/>
              <w:right w:val="single" w:sz="4" w:space="0" w:color="auto"/>
            </w:tcBorders>
            <w:shd w:val="clear" w:color="auto" w:fill="auto"/>
            <w:vAlign w:val="center"/>
            <w:hideMark/>
          </w:tcPr>
          <w:p w14:paraId="10CCE11C" w14:textId="77777777" w:rsidR="00315701" w:rsidRPr="002C5E27" w:rsidRDefault="00315701" w:rsidP="00315701">
            <w:pPr>
              <w:jc w:val="center"/>
              <w:rPr>
                <w:color w:val="000000"/>
                <w:kern w:val="22"/>
                <w:szCs w:val="22"/>
                <w:lang w:val="fr-FR" w:eastAsia="en-CA"/>
              </w:rPr>
            </w:pPr>
            <w:r w:rsidRPr="002C5E27">
              <w:rPr>
                <w:color w:val="000000"/>
                <w:kern w:val="22"/>
                <w:szCs w:val="22"/>
                <w:lang w:val="fr-FR" w:eastAsia="en-CA"/>
              </w:rPr>
              <w:t> </w:t>
            </w:r>
          </w:p>
        </w:tc>
      </w:tr>
      <w:tr w:rsidR="00315701" w:rsidRPr="002C5E27" w14:paraId="1CB86CC7" w14:textId="77777777" w:rsidTr="002C5E27">
        <w:trPr>
          <w:trHeight w:val="48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4609976A" w14:textId="2AE5ABB2" w:rsidR="00315701" w:rsidRPr="002C5E27" w:rsidRDefault="00516B1C" w:rsidP="00315701">
            <w:pPr>
              <w:rPr>
                <w:color w:val="000000"/>
                <w:kern w:val="22"/>
                <w:szCs w:val="22"/>
                <w:lang w:val="fr-FR" w:eastAsia="en-CA"/>
              </w:rPr>
            </w:pPr>
            <w:r w:rsidRPr="002C5E27">
              <w:rPr>
                <w:color w:val="000000"/>
                <w:kern w:val="22"/>
                <w:szCs w:val="22"/>
                <w:lang w:val="fr-FR" w:eastAsia="en-CA"/>
              </w:rPr>
              <w:t xml:space="preserve">Part du </w:t>
            </w:r>
            <w:r w:rsidR="00692A5A" w:rsidRPr="002C5E27">
              <w:rPr>
                <w:color w:val="000000"/>
                <w:kern w:val="22"/>
                <w:szCs w:val="22"/>
                <w:lang w:val="fr-FR" w:eastAsia="en-CA"/>
              </w:rPr>
              <w:t>P</w:t>
            </w:r>
            <w:r w:rsidRPr="002C5E27">
              <w:rPr>
                <w:color w:val="000000"/>
                <w:kern w:val="22"/>
                <w:szCs w:val="22"/>
                <w:lang w:val="fr-FR" w:eastAsia="en-CA"/>
              </w:rPr>
              <w:t>rotocole de Cartagena dans le budget intérimaire (15%)</w:t>
            </w:r>
          </w:p>
        </w:tc>
        <w:tc>
          <w:tcPr>
            <w:tcW w:w="1260" w:type="dxa"/>
            <w:tcBorders>
              <w:top w:val="nil"/>
              <w:left w:val="nil"/>
              <w:bottom w:val="single" w:sz="4" w:space="0" w:color="auto"/>
              <w:right w:val="single" w:sz="4" w:space="0" w:color="auto"/>
            </w:tcBorders>
            <w:shd w:val="clear" w:color="auto" w:fill="auto"/>
            <w:vAlign w:val="center"/>
            <w:hideMark/>
          </w:tcPr>
          <w:p w14:paraId="790293D2" w14:textId="77777777" w:rsidR="00315701" w:rsidRPr="002C5E27" w:rsidRDefault="00315701" w:rsidP="00315701">
            <w:pPr>
              <w:jc w:val="right"/>
              <w:rPr>
                <w:color w:val="000000"/>
                <w:kern w:val="22"/>
                <w:szCs w:val="22"/>
                <w:lang w:val="fr-FR" w:eastAsia="en-CA"/>
              </w:rPr>
            </w:pPr>
            <w:r w:rsidRPr="002C5E27">
              <w:rPr>
                <w:color w:val="000000"/>
                <w:kern w:val="22"/>
                <w:szCs w:val="22"/>
                <w:lang w:val="fr-FR" w:eastAsia="en-CA"/>
              </w:rPr>
              <w:t>2,546.4</w:t>
            </w:r>
          </w:p>
        </w:tc>
        <w:tc>
          <w:tcPr>
            <w:tcW w:w="1620" w:type="dxa"/>
            <w:tcBorders>
              <w:top w:val="nil"/>
              <w:left w:val="nil"/>
              <w:bottom w:val="single" w:sz="4" w:space="0" w:color="auto"/>
              <w:right w:val="single" w:sz="4" w:space="0" w:color="auto"/>
            </w:tcBorders>
            <w:shd w:val="clear" w:color="auto" w:fill="auto"/>
            <w:vAlign w:val="center"/>
            <w:hideMark/>
          </w:tcPr>
          <w:p w14:paraId="72EDE914" w14:textId="77777777" w:rsidR="00315701" w:rsidRPr="002C5E27" w:rsidRDefault="00315701" w:rsidP="00315701">
            <w:pPr>
              <w:jc w:val="right"/>
              <w:rPr>
                <w:color w:val="000000"/>
                <w:kern w:val="22"/>
                <w:szCs w:val="22"/>
                <w:lang w:val="fr-FR" w:eastAsia="en-CA"/>
              </w:rPr>
            </w:pPr>
            <w:r w:rsidRPr="002C5E27">
              <w:rPr>
                <w:color w:val="000000"/>
                <w:kern w:val="22"/>
                <w:szCs w:val="22"/>
                <w:lang w:val="fr-FR" w:eastAsia="en-CA"/>
              </w:rPr>
              <w:t>2,311.3</w:t>
            </w:r>
          </w:p>
        </w:tc>
        <w:tc>
          <w:tcPr>
            <w:tcW w:w="1350" w:type="dxa"/>
            <w:tcBorders>
              <w:top w:val="nil"/>
              <w:left w:val="nil"/>
              <w:bottom w:val="single" w:sz="4" w:space="0" w:color="auto"/>
              <w:right w:val="single" w:sz="4" w:space="0" w:color="auto"/>
            </w:tcBorders>
            <w:shd w:val="clear" w:color="auto" w:fill="auto"/>
            <w:vAlign w:val="center"/>
            <w:hideMark/>
          </w:tcPr>
          <w:p w14:paraId="2C13A5F8" w14:textId="77777777" w:rsidR="00315701" w:rsidRPr="002C5E27" w:rsidRDefault="00315701" w:rsidP="00315701">
            <w:pPr>
              <w:jc w:val="right"/>
              <w:rPr>
                <w:color w:val="000000"/>
                <w:kern w:val="22"/>
                <w:szCs w:val="22"/>
                <w:lang w:val="fr-FR" w:eastAsia="en-CA"/>
              </w:rPr>
            </w:pPr>
            <w:r w:rsidRPr="002C5E27">
              <w:rPr>
                <w:color w:val="000000"/>
                <w:kern w:val="22"/>
                <w:szCs w:val="22"/>
                <w:lang w:val="fr-FR" w:eastAsia="en-CA"/>
              </w:rPr>
              <w:t> </w:t>
            </w:r>
          </w:p>
        </w:tc>
        <w:tc>
          <w:tcPr>
            <w:tcW w:w="900" w:type="dxa"/>
            <w:tcBorders>
              <w:top w:val="nil"/>
              <w:left w:val="nil"/>
              <w:bottom w:val="single" w:sz="4" w:space="0" w:color="auto"/>
              <w:right w:val="single" w:sz="4" w:space="0" w:color="auto"/>
            </w:tcBorders>
            <w:shd w:val="clear" w:color="auto" w:fill="auto"/>
            <w:vAlign w:val="center"/>
            <w:hideMark/>
          </w:tcPr>
          <w:p w14:paraId="08D2DEC2" w14:textId="77777777" w:rsidR="00315701" w:rsidRPr="002C5E27" w:rsidRDefault="00315701" w:rsidP="00315701">
            <w:pPr>
              <w:jc w:val="center"/>
              <w:rPr>
                <w:color w:val="000000"/>
                <w:kern w:val="22"/>
                <w:szCs w:val="22"/>
                <w:lang w:val="fr-FR" w:eastAsia="en-CA"/>
              </w:rPr>
            </w:pPr>
            <w:r w:rsidRPr="002C5E27">
              <w:rPr>
                <w:color w:val="000000"/>
                <w:kern w:val="22"/>
                <w:szCs w:val="22"/>
                <w:lang w:val="fr-FR" w:eastAsia="en-CA"/>
              </w:rPr>
              <w:t> </w:t>
            </w:r>
          </w:p>
        </w:tc>
      </w:tr>
      <w:tr w:rsidR="00315701" w:rsidRPr="002C5E27" w14:paraId="213414C6" w14:textId="77777777" w:rsidTr="002C5E27">
        <w:trPr>
          <w:trHeight w:val="48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6A31DFE3" w14:textId="63E30624" w:rsidR="00315701" w:rsidRPr="002C5E27" w:rsidRDefault="00516B1C" w:rsidP="00315701">
            <w:pPr>
              <w:rPr>
                <w:color w:val="000000"/>
                <w:kern w:val="22"/>
                <w:szCs w:val="22"/>
                <w:lang w:val="fr-FR" w:eastAsia="en-CA"/>
              </w:rPr>
            </w:pPr>
            <w:r w:rsidRPr="002C5E27">
              <w:rPr>
                <w:color w:val="000000"/>
                <w:kern w:val="22"/>
                <w:szCs w:val="22"/>
                <w:lang w:val="fr-FR" w:eastAsia="en-CA"/>
              </w:rPr>
              <w:t xml:space="preserve">Part du </w:t>
            </w:r>
            <w:r w:rsidR="00692A5A" w:rsidRPr="002C5E27">
              <w:rPr>
                <w:color w:val="000000"/>
                <w:kern w:val="22"/>
                <w:szCs w:val="22"/>
                <w:lang w:val="fr-FR" w:eastAsia="en-CA"/>
              </w:rPr>
              <w:t>P</w:t>
            </w:r>
            <w:r w:rsidRPr="002C5E27">
              <w:rPr>
                <w:color w:val="000000"/>
                <w:kern w:val="22"/>
                <w:szCs w:val="22"/>
                <w:lang w:val="fr-FR" w:eastAsia="en-CA"/>
              </w:rPr>
              <w:t>rotocole de Nagoya dans le budget intérimaire (11%)</w:t>
            </w:r>
          </w:p>
        </w:tc>
        <w:tc>
          <w:tcPr>
            <w:tcW w:w="1260" w:type="dxa"/>
            <w:tcBorders>
              <w:top w:val="nil"/>
              <w:left w:val="nil"/>
              <w:bottom w:val="single" w:sz="4" w:space="0" w:color="auto"/>
              <w:right w:val="single" w:sz="4" w:space="0" w:color="auto"/>
            </w:tcBorders>
            <w:shd w:val="clear" w:color="auto" w:fill="auto"/>
            <w:vAlign w:val="center"/>
            <w:hideMark/>
          </w:tcPr>
          <w:p w14:paraId="16670041" w14:textId="77777777" w:rsidR="00315701" w:rsidRPr="002C5E27" w:rsidRDefault="00315701" w:rsidP="00315701">
            <w:pPr>
              <w:jc w:val="right"/>
              <w:rPr>
                <w:color w:val="000000"/>
                <w:kern w:val="22"/>
                <w:szCs w:val="22"/>
                <w:lang w:val="fr-FR" w:eastAsia="en-CA"/>
              </w:rPr>
            </w:pPr>
            <w:r w:rsidRPr="002C5E27">
              <w:rPr>
                <w:color w:val="000000"/>
                <w:kern w:val="22"/>
                <w:szCs w:val="22"/>
                <w:lang w:val="fr-FR" w:eastAsia="en-CA"/>
              </w:rPr>
              <w:t>1,867.3</w:t>
            </w:r>
          </w:p>
        </w:tc>
        <w:tc>
          <w:tcPr>
            <w:tcW w:w="1620" w:type="dxa"/>
            <w:tcBorders>
              <w:top w:val="nil"/>
              <w:left w:val="nil"/>
              <w:bottom w:val="single" w:sz="4" w:space="0" w:color="auto"/>
              <w:right w:val="single" w:sz="4" w:space="0" w:color="auto"/>
            </w:tcBorders>
            <w:shd w:val="clear" w:color="auto" w:fill="auto"/>
            <w:vAlign w:val="center"/>
            <w:hideMark/>
          </w:tcPr>
          <w:p w14:paraId="0881699A" w14:textId="77777777" w:rsidR="00315701" w:rsidRPr="002C5E27" w:rsidRDefault="00315701" w:rsidP="00315701">
            <w:pPr>
              <w:jc w:val="right"/>
              <w:rPr>
                <w:color w:val="000000"/>
                <w:kern w:val="22"/>
                <w:szCs w:val="22"/>
                <w:lang w:val="fr-FR" w:eastAsia="en-CA"/>
              </w:rPr>
            </w:pPr>
            <w:r w:rsidRPr="002C5E27">
              <w:rPr>
                <w:color w:val="000000"/>
                <w:kern w:val="22"/>
                <w:szCs w:val="22"/>
                <w:lang w:val="fr-FR" w:eastAsia="en-CA"/>
              </w:rPr>
              <w:t>1,695.0</w:t>
            </w:r>
          </w:p>
        </w:tc>
        <w:tc>
          <w:tcPr>
            <w:tcW w:w="1350" w:type="dxa"/>
            <w:tcBorders>
              <w:top w:val="nil"/>
              <w:left w:val="nil"/>
              <w:bottom w:val="single" w:sz="4" w:space="0" w:color="auto"/>
              <w:right w:val="single" w:sz="4" w:space="0" w:color="auto"/>
            </w:tcBorders>
            <w:shd w:val="clear" w:color="auto" w:fill="auto"/>
            <w:vAlign w:val="center"/>
            <w:hideMark/>
          </w:tcPr>
          <w:p w14:paraId="67BCDDF5" w14:textId="77777777" w:rsidR="00315701" w:rsidRPr="002C5E27" w:rsidRDefault="00315701" w:rsidP="00315701">
            <w:pPr>
              <w:jc w:val="right"/>
              <w:rPr>
                <w:color w:val="000000"/>
                <w:kern w:val="22"/>
                <w:szCs w:val="22"/>
                <w:lang w:val="fr-FR" w:eastAsia="en-CA"/>
              </w:rPr>
            </w:pPr>
            <w:r w:rsidRPr="002C5E27">
              <w:rPr>
                <w:color w:val="000000"/>
                <w:kern w:val="22"/>
                <w:szCs w:val="22"/>
                <w:lang w:val="fr-FR" w:eastAsia="en-CA"/>
              </w:rPr>
              <w:t> </w:t>
            </w:r>
          </w:p>
        </w:tc>
        <w:tc>
          <w:tcPr>
            <w:tcW w:w="900" w:type="dxa"/>
            <w:tcBorders>
              <w:top w:val="nil"/>
              <w:left w:val="nil"/>
              <w:bottom w:val="single" w:sz="4" w:space="0" w:color="auto"/>
              <w:right w:val="single" w:sz="4" w:space="0" w:color="auto"/>
            </w:tcBorders>
            <w:shd w:val="clear" w:color="auto" w:fill="auto"/>
            <w:vAlign w:val="center"/>
            <w:hideMark/>
          </w:tcPr>
          <w:p w14:paraId="539BF5DE" w14:textId="77777777" w:rsidR="00315701" w:rsidRPr="002C5E27" w:rsidRDefault="00315701" w:rsidP="00315701">
            <w:pPr>
              <w:jc w:val="center"/>
              <w:rPr>
                <w:color w:val="000000"/>
                <w:kern w:val="22"/>
                <w:szCs w:val="22"/>
                <w:lang w:val="fr-FR" w:eastAsia="en-CA"/>
              </w:rPr>
            </w:pPr>
            <w:r w:rsidRPr="002C5E27">
              <w:rPr>
                <w:color w:val="000000"/>
                <w:kern w:val="22"/>
                <w:szCs w:val="22"/>
                <w:lang w:val="fr-FR" w:eastAsia="en-CA"/>
              </w:rPr>
              <w:t> </w:t>
            </w:r>
          </w:p>
        </w:tc>
      </w:tr>
    </w:tbl>
    <w:p w14:paraId="6DA93D2E" w14:textId="1A3D7E1D" w:rsidR="00951BDC" w:rsidRPr="00014329" w:rsidRDefault="006659E3" w:rsidP="00951BDC">
      <w:pPr>
        <w:spacing w:before="120" w:after="120"/>
        <w:rPr>
          <w:kern w:val="22"/>
          <w:sz w:val="18"/>
          <w:szCs w:val="18"/>
          <w:lang w:val="fr-FR"/>
        </w:rPr>
      </w:pPr>
      <w:r w:rsidRPr="00DC2ED0">
        <w:rPr>
          <w:i/>
          <w:iCs/>
          <w:kern w:val="22"/>
          <w:sz w:val="18"/>
          <w:szCs w:val="18"/>
          <w:lang w:val="fr-FR"/>
        </w:rPr>
        <w:t>Notes</w:t>
      </w:r>
      <w:r w:rsidRPr="00014329">
        <w:rPr>
          <w:kern w:val="22"/>
          <w:sz w:val="18"/>
          <w:szCs w:val="18"/>
          <w:lang w:val="fr-FR"/>
        </w:rPr>
        <w:t xml:space="preserve"> :</w:t>
      </w:r>
    </w:p>
    <w:p w14:paraId="109CF2A4" w14:textId="16C1BE73" w:rsidR="00951BDC" w:rsidRPr="00DC2ED0" w:rsidRDefault="00DC2ED0" w:rsidP="00DC2ED0">
      <w:pPr>
        <w:ind w:firstLine="357"/>
        <w:rPr>
          <w:kern w:val="22"/>
          <w:sz w:val="18"/>
          <w:szCs w:val="18"/>
          <w:lang w:val="fr-FR"/>
        </w:rPr>
      </w:pPr>
      <w:r>
        <w:rPr>
          <w:kern w:val="22"/>
          <w:sz w:val="18"/>
          <w:szCs w:val="18"/>
          <w:lang w:val="fr-FR"/>
        </w:rPr>
        <w:lastRenderedPageBreak/>
        <w:t xml:space="preserve">1. </w:t>
      </w:r>
      <w:r w:rsidR="005B4EF3" w:rsidRPr="00DC2ED0">
        <w:rPr>
          <w:kern w:val="22"/>
          <w:sz w:val="18"/>
          <w:szCs w:val="18"/>
          <w:lang w:val="fr-FR"/>
        </w:rPr>
        <w:t>Les ressources estimées sont basées sur les dépenses d</w:t>
      </w:r>
      <w:r w:rsidR="00AB1458" w:rsidRPr="00DC2ED0">
        <w:rPr>
          <w:kern w:val="22"/>
          <w:sz w:val="18"/>
          <w:szCs w:val="18"/>
          <w:lang w:val="fr-FR"/>
        </w:rPr>
        <w:t>u</w:t>
      </w:r>
      <w:r w:rsidR="005B4EF3" w:rsidRPr="00DC2ED0">
        <w:rPr>
          <w:kern w:val="22"/>
          <w:sz w:val="18"/>
          <w:szCs w:val="18"/>
          <w:lang w:val="fr-FR"/>
        </w:rPr>
        <w:t xml:space="preserve"> personnel réelles en 2020, avec des augmentations conformes au barème des traitements des Nations unies et des augmentations pour les </w:t>
      </w:r>
      <w:r w:rsidR="00CD7FA1" w:rsidRPr="00DC2ED0">
        <w:rPr>
          <w:kern w:val="22"/>
          <w:sz w:val="18"/>
          <w:szCs w:val="18"/>
          <w:lang w:val="fr-FR"/>
        </w:rPr>
        <w:t xml:space="preserve">professionnels </w:t>
      </w:r>
      <w:r w:rsidR="005B4EF3" w:rsidRPr="00DC2ED0">
        <w:rPr>
          <w:kern w:val="22"/>
          <w:sz w:val="18"/>
          <w:szCs w:val="18"/>
          <w:lang w:val="fr-FR"/>
        </w:rPr>
        <w:t>et les agents des services généraux comme suit : SSG : 315 000 ; D-</w:t>
      </w:r>
      <w:proofErr w:type="gramStart"/>
      <w:r w:rsidR="005B4EF3" w:rsidRPr="00DC2ED0">
        <w:rPr>
          <w:kern w:val="22"/>
          <w:sz w:val="18"/>
          <w:szCs w:val="18"/>
          <w:lang w:val="fr-FR"/>
        </w:rPr>
        <w:t>1:</w:t>
      </w:r>
      <w:proofErr w:type="gramEnd"/>
      <w:r w:rsidR="005B4EF3" w:rsidRPr="00DC2ED0">
        <w:rPr>
          <w:kern w:val="22"/>
          <w:sz w:val="18"/>
          <w:szCs w:val="18"/>
          <w:lang w:val="fr-FR"/>
        </w:rPr>
        <w:t>262 000 ; P-5:240 000 ; P-4:210 700 ; P-3:177 600 ; P-2:132 000 ; agents des services généraux : 77 000.</w:t>
      </w:r>
    </w:p>
    <w:p w14:paraId="70154AD4" w14:textId="52A8D846" w:rsidR="00951BDC" w:rsidRPr="00DC2ED0" w:rsidRDefault="00DC2ED0" w:rsidP="00DC2ED0">
      <w:pPr>
        <w:spacing w:before="120" w:after="120"/>
        <w:ind w:firstLine="357"/>
        <w:rPr>
          <w:kern w:val="22"/>
          <w:sz w:val="18"/>
          <w:szCs w:val="18"/>
          <w:lang w:val="fr-FR"/>
        </w:rPr>
      </w:pPr>
      <w:r>
        <w:rPr>
          <w:kern w:val="22"/>
          <w:sz w:val="18"/>
          <w:szCs w:val="18"/>
          <w:lang w:val="fr-FR"/>
        </w:rPr>
        <w:t xml:space="preserve">2. </w:t>
      </w:r>
      <w:r w:rsidR="005B4EF3" w:rsidRPr="00DC2ED0">
        <w:rPr>
          <w:kern w:val="22"/>
          <w:sz w:val="18"/>
          <w:szCs w:val="18"/>
          <w:lang w:val="fr-FR"/>
        </w:rPr>
        <w:t>Les coûts prévus pour 2021 sont réduits en raison du report de fonds de 2019-</w:t>
      </w:r>
      <w:r w:rsidR="00CF00BF" w:rsidRPr="00DC2ED0">
        <w:rPr>
          <w:kern w:val="22"/>
          <w:sz w:val="18"/>
          <w:szCs w:val="18"/>
          <w:lang w:val="fr-FR"/>
        </w:rPr>
        <w:t>20</w:t>
      </w:r>
      <w:r w:rsidR="005B4EF3" w:rsidRPr="00DC2ED0">
        <w:rPr>
          <w:kern w:val="22"/>
          <w:sz w:val="18"/>
          <w:szCs w:val="18"/>
          <w:lang w:val="fr-FR"/>
        </w:rPr>
        <w:t>20.</w:t>
      </w:r>
    </w:p>
    <w:p w14:paraId="330559CA" w14:textId="1DD63F01" w:rsidR="005B4EF3" w:rsidRPr="00DC2ED0" w:rsidRDefault="00DC2ED0" w:rsidP="00DC2ED0">
      <w:pPr>
        <w:spacing w:before="120" w:after="120"/>
        <w:ind w:firstLine="357"/>
        <w:rPr>
          <w:kern w:val="22"/>
          <w:sz w:val="18"/>
          <w:szCs w:val="18"/>
          <w:lang w:val="fr-FR"/>
        </w:rPr>
      </w:pPr>
      <w:r>
        <w:rPr>
          <w:kern w:val="22"/>
          <w:sz w:val="18"/>
          <w:szCs w:val="18"/>
          <w:lang w:val="fr-FR"/>
        </w:rPr>
        <w:t xml:space="preserve">3. </w:t>
      </w:r>
      <w:r w:rsidR="005B4EF3" w:rsidRPr="00DC2ED0">
        <w:rPr>
          <w:kern w:val="22"/>
          <w:sz w:val="18"/>
          <w:szCs w:val="18"/>
          <w:lang w:val="fr-FR"/>
        </w:rPr>
        <w:t xml:space="preserve">Pour couvrir le déficit des coûts de </w:t>
      </w:r>
      <w:r w:rsidR="00632428" w:rsidRPr="00DC2ED0">
        <w:rPr>
          <w:iCs/>
          <w:kern w:val="22"/>
          <w:sz w:val="18"/>
          <w:szCs w:val="18"/>
          <w:lang w:val="fr-FR"/>
        </w:rPr>
        <w:t>SBSTTA-24</w:t>
      </w:r>
      <w:r w:rsidR="00632428" w:rsidRPr="00DC2ED0">
        <w:rPr>
          <w:iCs/>
          <w:kern w:val="22"/>
          <w:lang w:val="fr-FR"/>
        </w:rPr>
        <w:t xml:space="preserve"> </w:t>
      </w:r>
      <w:r w:rsidR="005B4EF3" w:rsidRPr="00DC2ED0">
        <w:rPr>
          <w:kern w:val="22"/>
          <w:sz w:val="18"/>
          <w:szCs w:val="18"/>
          <w:lang w:val="fr-FR"/>
        </w:rPr>
        <w:t>et de SBI-3 en raison des coûts liés aux réunions virtuelles qui se tiendront en 2020)</w:t>
      </w:r>
    </w:p>
    <w:p w14:paraId="129231A0" w14:textId="52D66D46" w:rsidR="00951BDC" w:rsidRPr="00DC2ED0" w:rsidRDefault="00DC2ED0" w:rsidP="00DC2ED0">
      <w:pPr>
        <w:spacing w:before="120" w:after="120"/>
        <w:ind w:firstLine="357"/>
        <w:rPr>
          <w:kern w:val="22"/>
          <w:sz w:val="18"/>
          <w:szCs w:val="18"/>
          <w:lang w:val="fr-FR"/>
        </w:rPr>
      </w:pPr>
      <w:r>
        <w:rPr>
          <w:kern w:val="22"/>
          <w:sz w:val="18"/>
          <w:szCs w:val="18"/>
          <w:lang w:val="fr-FR"/>
        </w:rPr>
        <w:t xml:space="preserve">4. </w:t>
      </w:r>
      <w:r w:rsidR="005B4EF3" w:rsidRPr="00DC2ED0">
        <w:rPr>
          <w:kern w:val="22"/>
          <w:sz w:val="18"/>
          <w:szCs w:val="18"/>
          <w:lang w:val="fr-FR"/>
        </w:rPr>
        <w:t>Les coûts prévus pour 2021 sont réduits en raison du report de fonds de 2019-</w:t>
      </w:r>
      <w:r w:rsidR="00CF00BF" w:rsidRPr="00DC2ED0">
        <w:rPr>
          <w:kern w:val="22"/>
          <w:sz w:val="18"/>
          <w:szCs w:val="18"/>
          <w:lang w:val="fr-FR"/>
        </w:rPr>
        <w:t>20</w:t>
      </w:r>
      <w:r w:rsidR="005B4EF3" w:rsidRPr="00DC2ED0">
        <w:rPr>
          <w:kern w:val="22"/>
          <w:sz w:val="18"/>
          <w:szCs w:val="18"/>
          <w:lang w:val="fr-FR"/>
        </w:rPr>
        <w:t>20.</w:t>
      </w:r>
    </w:p>
    <w:p w14:paraId="240695CC" w14:textId="52A7C916" w:rsidR="005B4EF3" w:rsidRPr="00DC2ED0" w:rsidRDefault="00DC2ED0" w:rsidP="00DC2ED0">
      <w:pPr>
        <w:spacing w:before="120" w:after="120"/>
        <w:ind w:firstLine="357"/>
        <w:rPr>
          <w:i/>
          <w:iCs/>
          <w:kern w:val="22"/>
          <w:sz w:val="18"/>
          <w:szCs w:val="18"/>
          <w:lang w:val="fr-FR"/>
        </w:rPr>
      </w:pPr>
      <w:r>
        <w:rPr>
          <w:iCs/>
          <w:kern w:val="22"/>
          <w:sz w:val="18"/>
          <w:szCs w:val="18"/>
          <w:lang w:val="fr-FR"/>
        </w:rPr>
        <w:t xml:space="preserve">5. </w:t>
      </w:r>
      <w:r w:rsidR="005B4EF3" w:rsidRPr="00DC2ED0">
        <w:rPr>
          <w:iCs/>
          <w:kern w:val="22"/>
          <w:sz w:val="18"/>
          <w:szCs w:val="18"/>
          <w:lang w:val="fr-FR"/>
        </w:rPr>
        <w:t>Lors de sa quatorzième réunion, la Conférence des Parties a approuvé deux réunions extraordinaires autonomes sur l'après 2020, qui seront financées sur le budget 2019-2020. Les Parties ont également convenu que toute réunion supplémentaire sur l'après 2020 devrait être financée par des fonds volontaires. Lors de sa réunion du 16 mars 2019, le Bureau de la Conférence des Parties a examiné le processus et a décidé de tenir une réunion supplémentaire sur l'après</w:t>
      </w:r>
      <w:r w:rsidR="00CF00BF" w:rsidRPr="00DC2ED0">
        <w:rPr>
          <w:iCs/>
          <w:kern w:val="22"/>
          <w:sz w:val="18"/>
          <w:szCs w:val="18"/>
          <w:lang w:val="fr-FR"/>
        </w:rPr>
        <w:t>-</w:t>
      </w:r>
      <w:r w:rsidR="005B4EF3" w:rsidRPr="00DC2ED0">
        <w:rPr>
          <w:iCs/>
          <w:kern w:val="22"/>
          <w:sz w:val="18"/>
          <w:szCs w:val="18"/>
          <w:lang w:val="fr-FR"/>
        </w:rPr>
        <w:t>2020. La première réunion a eu lieu à Nairobi en août 2019 et a été financée par le budget de base. Le gouvernement chinois a généreusement offert de financer entièrement et d'accueillir la deuxième réunion à Kunming en février 2020. Cependant, en raison de la pandémie C</w:t>
      </w:r>
      <w:r w:rsidR="00CF00BF" w:rsidRPr="00DC2ED0">
        <w:rPr>
          <w:iCs/>
          <w:kern w:val="22"/>
          <w:sz w:val="18"/>
          <w:szCs w:val="18"/>
          <w:lang w:val="fr-FR"/>
        </w:rPr>
        <w:t>OVID</w:t>
      </w:r>
      <w:r w:rsidR="005B4EF3" w:rsidRPr="00DC2ED0">
        <w:rPr>
          <w:iCs/>
          <w:kern w:val="22"/>
          <w:sz w:val="18"/>
          <w:szCs w:val="18"/>
          <w:lang w:val="fr-FR"/>
        </w:rPr>
        <w:t xml:space="preserve">-19, la réunion a été déplacée à la dernière minute à Rome et financée par le budget de base. Le gouvernement de la Colombie a offert d'accueillir la troisième réunion avec </w:t>
      </w:r>
      <w:r w:rsidR="00CF00BF" w:rsidRPr="00DC2ED0">
        <w:rPr>
          <w:iCs/>
          <w:kern w:val="22"/>
          <w:sz w:val="18"/>
          <w:szCs w:val="18"/>
          <w:lang w:val="fr-FR"/>
        </w:rPr>
        <w:t>une</w:t>
      </w:r>
      <w:r w:rsidR="005B4EF3" w:rsidRPr="00DC2ED0">
        <w:rPr>
          <w:iCs/>
          <w:kern w:val="22"/>
          <w:sz w:val="18"/>
          <w:szCs w:val="18"/>
          <w:lang w:val="fr-FR"/>
        </w:rPr>
        <w:t xml:space="preserve"> généreuse contribution financière du gouvernement de la Norvège pour soutenir les coûts loca</w:t>
      </w:r>
      <w:r w:rsidR="00CF00BF" w:rsidRPr="00DC2ED0">
        <w:rPr>
          <w:iCs/>
          <w:kern w:val="22"/>
          <w:sz w:val="18"/>
          <w:szCs w:val="18"/>
          <w:lang w:val="fr-FR"/>
        </w:rPr>
        <w:t>ux</w:t>
      </w:r>
      <w:r w:rsidR="005B4EF3" w:rsidRPr="00DC2ED0">
        <w:rPr>
          <w:iCs/>
          <w:kern w:val="22"/>
          <w:sz w:val="18"/>
          <w:szCs w:val="18"/>
          <w:lang w:val="fr-FR"/>
        </w:rPr>
        <w:t xml:space="preserve"> et les coûts supplémentaires du Secrétariat </w:t>
      </w:r>
      <w:r w:rsidR="00D83531">
        <w:rPr>
          <w:iCs/>
          <w:kern w:val="22"/>
          <w:sz w:val="18"/>
          <w:szCs w:val="18"/>
          <w:lang w:val="fr-FR"/>
        </w:rPr>
        <w:t xml:space="preserve">découlant </w:t>
      </w:r>
      <w:r w:rsidR="005B4EF3" w:rsidRPr="00DC2ED0">
        <w:rPr>
          <w:iCs/>
          <w:kern w:val="22"/>
          <w:sz w:val="18"/>
          <w:szCs w:val="18"/>
          <w:lang w:val="fr-FR"/>
        </w:rPr>
        <w:t xml:space="preserve">de la tenue de la réunion en dehors de Montréal. Les ressources de 350 000 dollars </w:t>
      </w:r>
      <w:r w:rsidR="0071175F" w:rsidRPr="00DD308C">
        <w:rPr>
          <w:iCs/>
          <w:kern w:val="22"/>
          <w:sz w:val="18"/>
          <w:szCs w:val="18"/>
          <w:lang w:val="fr-FR"/>
        </w:rPr>
        <w:t>É.-U</w:t>
      </w:r>
      <w:r w:rsidR="005B4EF3" w:rsidRPr="00DC2ED0">
        <w:rPr>
          <w:iCs/>
          <w:kern w:val="22"/>
          <w:sz w:val="18"/>
          <w:szCs w:val="18"/>
          <w:lang w:val="fr-FR"/>
        </w:rPr>
        <w:t xml:space="preserve">, en plus </w:t>
      </w:r>
      <w:r w:rsidR="00CF00BF" w:rsidRPr="00DC2ED0">
        <w:rPr>
          <w:iCs/>
          <w:kern w:val="22"/>
          <w:sz w:val="18"/>
          <w:szCs w:val="18"/>
          <w:lang w:val="fr-FR"/>
        </w:rPr>
        <w:t xml:space="preserve">de </w:t>
      </w:r>
      <w:r w:rsidR="005B4EF3" w:rsidRPr="00DC2ED0">
        <w:rPr>
          <w:iCs/>
          <w:kern w:val="22"/>
          <w:sz w:val="18"/>
          <w:szCs w:val="18"/>
          <w:lang w:val="fr-FR"/>
        </w:rPr>
        <w:t xml:space="preserve">210 000 dollars </w:t>
      </w:r>
      <w:r w:rsidR="0071175F" w:rsidRPr="00DC2ED0">
        <w:rPr>
          <w:iCs/>
          <w:kern w:val="22"/>
          <w:sz w:val="18"/>
          <w:szCs w:val="18"/>
          <w:lang w:val="fr-FR"/>
        </w:rPr>
        <w:t>É.-U</w:t>
      </w:r>
      <w:r w:rsidR="0071175F" w:rsidRPr="00DC2ED0">
        <w:rPr>
          <w:iCs/>
          <w:kern w:val="22"/>
          <w:lang w:val="fr-FR"/>
        </w:rPr>
        <w:t xml:space="preserve"> </w:t>
      </w:r>
      <w:r w:rsidR="005B4EF3" w:rsidRPr="00DC2ED0">
        <w:rPr>
          <w:iCs/>
          <w:kern w:val="22"/>
          <w:sz w:val="18"/>
          <w:szCs w:val="18"/>
          <w:lang w:val="fr-FR"/>
        </w:rPr>
        <w:t xml:space="preserve">du budget 2019-2020, correspondraient au coût budgétisé pour chaque réunion selon le chiffre approuvé utilisé dans le budget 2019-2020, complété par le financement du gouvernement de la Norvège et </w:t>
      </w:r>
      <w:r w:rsidR="00CF00BF" w:rsidRPr="00DC2ED0">
        <w:rPr>
          <w:iCs/>
          <w:kern w:val="22"/>
          <w:sz w:val="18"/>
          <w:szCs w:val="18"/>
          <w:lang w:val="fr-FR"/>
        </w:rPr>
        <w:t>de la Co</w:t>
      </w:r>
      <w:r w:rsidR="00D90E14">
        <w:rPr>
          <w:iCs/>
          <w:kern w:val="22"/>
          <w:sz w:val="18"/>
          <w:szCs w:val="18"/>
          <w:lang w:val="fr-FR"/>
        </w:rPr>
        <w:t>l</w:t>
      </w:r>
      <w:r w:rsidR="00CF00BF" w:rsidRPr="00DC2ED0">
        <w:rPr>
          <w:iCs/>
          <w:kern w:val="22"/>
          <w:sz w:val="18"/>
          <w:szCs w:val="18"/>
          <w:lang w:val="fr-FR"/>
        </w:rPr>
        <w:t>o</w:t>
      </w:r>
      <w:r w:rsidR="00D90E14">
        <w:rPr>
          <w:iCs/>
          <w:kern w:val="22"/>
          <w:sz w:val="18"/>
          <w:szCs w:val="18"/>
          <w:lang w:val="fr-FR"/>
        </w:rPr>
        <w:t>m</w:t>
      </w:r>
      <w:r w:rsidR="00CF00BF" w:rsidRPr="00DC2ED0">
        <w:rPr>
          <w:iCs/>
          <w:kern w:val="22"/>
          <w:sz w:val="18"/>
          <w:szCs w:val="18"/>
          <w:lang w:val="fr-FR"/>
        </w:rPr>
        <w:t xml:space="preserve">bie, tel qu’indiqué </w:t>
      </w:r>
      <w:r w:rsidR="00AC2881" w:rsidRPr="00DC2ED0">
        <w:rPr>
          <w:iCs/>
          <w:kern w:val="22"/>
          <w:sz w:val="18"/>
          <w:szCs w:val="18"/>
          <w:lang w:val="fr-FR"/>
        </w:rPr>
        <w:t>au-dessus</w:t>
      </w:r>
      <w:r w:rsidR="00CF00BF" w:rsidRPr="00DC2ED0">
        <w:rPr>
          <w:iCs/>
          <w:kern w:val="22"/>
          <w:sz w:val="18"/>
          <w:szCs w:val="18"/>
          <w:lang w:val="fr-FR"/>
        </w:rPr>
        <w:t>.</w:t>
      </w:r>
    </w:p>
    <w:p w14:paraId="1B7C9660" w14:textId="10B6ADBA" w:rsidR="00393E17" w:rsidRPr="00D90E14" w:rsidRDefault="00DC2ED0" w:rsidP="00D90E14">
      <w:pPr>
        <w:spacing w:before="120" w:after="120"/>
        <w:ind w:firstLine="357"/>
        <w:rPr>
          <w:i/>
          <w:iCs/>
          <w:kern w:val="22"/>
          <w:sz w:val="18"/>
          <w:szCs w:val="18"/>
          <w:lang w:val="fr-FR"/>
        </w:rPr>
      </w:pPr>
      <w:r>
        <w:rPr>
          <w:kern w:val="22"/>
          <w:sz w:val="18"/>
          <w:szCs w:val="18"/>
          <w:lang w:val="fr-FR"/>
        </w:rPr>
        <w:t xml:space="preserve">6. </w:t>
      </w:r>
      <w:r w:rsidR="005B4EF3" w:rsidRPr="00DC2ED0">
        <w:rPr>
          <w:kern w:val="22"/>
          <w:sz w:val="18"/>
          <w:szCs w:val="18"/>
          <w:lang w:val="fr-FR"/>
        </w:rPr>
        <w:t xml:space="preserve">Le Secrétariat a renouvelé son accord de subvention avec le pays </w:t>
      </w:r>
      <w:r w:rsidR="0067294A" w:rsidRPr="00DC2ED0">
        <w:rPr>
          <w:kern w:val="22"/>
          <w:sz w:val="18"/>
          <w:szCs w:val="18"/>
          <w:lang w:val="fr-FR"/>
        </w:rPr>
        <w:t>hôte</w:t>
      </w:r>
      <w:r w:rsidR="005B4EF3" w:rsidRPr="00DC2ED0">
        <w:rPr>
          <w:kern w:val="22"/>
          <w:sz w:val="18"/>
          <w:szCs w:val="18"/>
          <w:lang w:val="fr-FR"/>
        </w:rPr>
        <w:t xml:space="preserve"> (le gouvernement du Canada et la province de Québec) pour le loyer et les coûts associés des locaux à Montréal. L'accord couvre la période du 1er octobre 2019 au 30 septembre 2029, ce qui correspond à la durée du contrat de location actuel </w:t>
      </w:r>
      <w:r w:rsidR="008B14B8" w:rsidRPr="00DC2ED0">
        <w:rPr>
          <w:kern w:val="22"/>
          <w:sz w:val="18"/>
          <w:szCs w:val="18"/>
          <w:lang w:val="fr-FR"/>
        </w:rPr>
        <w:t xml:space="preserve">que le </w:t>
      </w:r>
      <w:r w:rsidR="005B4EF3" w:rsidRPr="00DC2ED0">
        <w:rPr>
          <w:kern w:val="22"/>
          <w:sz w:val="18"/>
          <w:szCs w:val="18"/>
          <w:lang w:val="fr-FR"/>
        </w:rPr>
        <w:t>Secrétariat</w:t>
      </w:r>
      <w:r w:rsidR="008B14B8" w:rsidRPr="00DC2ED0">
        <w:rPr>
          <w:kern w:val="22"/>
          <w:sz w:val="18"/>
          <w:szCs w:val="18"/>
          <w:lang w:val="fr-FR"/>
        </w:rPr>
        <w:t xml:space="preserve"> a signé</w:t>
      </w:r>
      <w:r w:rsidR="005B4EF3" w:rsidRPr="00DC2ED0">
        <w:rPr>
          <w:kern w:val="22"/>
          <w:sz w:val="18"/>
          <w:szCs w:val="18"/>
          <w:lang w:val="fr-FR"/>
        </w:rPr>
        <w:t xml:space="preserve">. Le loyer et les coûts associés pour 2021 sont estimés à 2 072 358 </w:t>
      </w:r>
      <w:r w:rsidR="009C126B">
        <w:rPr>
          <w:kern w:val="22"/>
          <w:sz w:val="18"/>
          <w:szCs w:val="18"/>
          <w:lang w:val="fr-FR"/>
        </w:rPr>
        <w:t>D</w:t>
      </w:r>
      <w:r w:rsidR="005B4EF3" w:rsidRPr="00DC2ED0">
        <w:rPr>
          <w:kern w:val="22"/>
          <w:sz w:val="18"/>
          <w:szCs w:val="18"/>
          <w:lang w:val="fr-FR"/>
        </w:rPr>
        <w:t xml:space="preserve">ollars canadiens. Le taux de change utilisé pour convertir la contribution du pays hôte en </w:t>
      </w:r>
      <w:r w:rsidR="009C126B">
        <w:rPr>
          <w:kern w:val="22"/>
          <w:sz w:val="18"/>
          <w:szCs w:val="18"/>
          <w:lang w:val="fr-FR"/>
        </w:rPr>
        <w:t>D</w:t>
      </w:r>
      <w:r w:rsidR="005B4EF3" w:rsidRPr="00DC2ED0">
        <w:rPr>
          <w:kern w:val="22"/>
          <w:sz w:val="18"/>
          <w:szCs w:val="18"/>
          <w:lang w:val="fr-FR"/>
        </w:rPr>
        <w:t xml:space="preserve">ollars canadiens est de 1,35 </w:t>
      </w:r>
      <w:r w:rsidR="009C126B">
        <w:rPr>
          <w:kern w:val="22"/>
          <w:sz w:val="18"/>
          <w:szCs w:val="18"/>
          <w:lang w:val="fr-FR"/>
        </w:rPr>
        <w:t>Dollars canadiens</w:t>
      </w:r>
      <w:r w:rsidR="005B4EF3" w:rsidRPr="00DC2ED0">
        <w:rPr>
          <w:kern w:val="22"/>
          <w:sz w:val="18"/>
          <w:szCs w:val="18"/>
          <w:lang w:val="fr-FR"/>
        </w:rPr>
        <w:t xml:space="preserve"> : 1,0</w:t>
      </w:r>
      <w:r w:rsidR="009608B4">
        <w:rPr>
          <w:kern w:val="22"/>
          <w:sz w:val="18"/>
          <w:szCs w:val="18"/>
          <w:lang w:val="fr-FR"/>
        </w:rPr>
        <w:t>0</w:t>
      </w:r>
      <w:r w:rsidR="005B4EF3" w:rsidRPr="00DC2ED0">
        <w:rPr>
          <w:kern w:val="22"/>
          <w:sz w:val="18"/>
          <w:szCs w:val="18"/>
          <w:lang w:val="fr-FR"/>
        </w:rPr>
        <w:t xml:space="preserve"> </w:t>
      </w:r>
      <w:r w:rsidR="0071175F" w:rsidRPr="00DC2ED0">
        <w:rPr>
          <w:kern w:val="22"/>
          <w:sz w:val="18"/>
          <w:szCs w:val="18"/>
          <w:lang w:val="fr-FR"/>
        </w:rPr>
        <w:t xml:space="preserve">dollar </w:t>
      </w:r>
      <w:r w:rsidR="0071175F" w:rsidRPr="00DC2ED0">
        <w:rPr>
          <w:iCs/>
          <w:kern w:val="22"/>
          <w:sz w:val="18"/>
          <w:szCs w:val="18"/>
          <w:lang w:val="fr-FR"/>
        </w:rPr>
        <w:t>É.-U</w:t>
      </w:r>
      <w:r w:rsidR="005B4EF3" w:rsidRPr="00DC2ED0">
        <w:rPr>
          <w:kern w:val="22"/>
          <w:sz w:val="18"/>
          <w:szCs w:val="18"/>
          <w:lang w:val="fr-FR"/>
        </w:rPr>
        <w:t>.</w:t>
      </w:r>
    </w:p>
    <w:p w14:paraId="1774FDFC" w14:textId="77777777" w:rsidR="00E525D8" w:rsidRDefault="00200D97" w:rsidP="00382991">
      <w:pPr>
        <w:spacing w:before="120" w:after="120"/>
        <w:rPr>
          <w:b/>
          <w:bCs/>
          <w:kern w:val="22"/>
          <w:szCs w:val="22"/>
          <w:lang w:val="fr-FR"/>
        </w:rPr>
      </w:pPr>
      <w:r w:rsidRPr="00200D97">
        <w:rPr>
          <w:b/>
          <w:bCs/>
          <w:kern w:val="22"/>
          <w:szCs w:val="22"/>
          <w:lang w:val="fr-FR"/>
        </w:rPr>
        <w:t xml:space="preserve">Tableau </w:t>
      </w:r>
      <w:r w:rsidR="00E525D8">
        <w:rPr>
          <w:b/>
          <w:bCs/>
          <w:kern w:val="22"/>
          <w:szCs w:val="22"/>
          <w:lang w:val="fr-FR"/>
        </w:rPr>
        <w:t>5b</w:t>
      </w:r>
    </w:p>
    <w:p w14:paraId="4620AA0A" w14:textId="09A775B7" w:rsidR="00EE27E1" w:rsidRDefault="00200D97" w:rsidP="00382991">
      <w:pPr>
        <w:spacing w:before="120" w:after="120"/>
        <w:rPr>
          <w:b/>
          <w:bCs/>
          <w:kern w:val="22"/>
          <w:szCs w:val="22"/>
          <w:lang w:val="fr-FR"/>
        </w:rPr>
      </w:pPr>
      <w:r w:rsidRPr="00E525D8">
        <w:rPr>
          <w:b/>
          <w:bCs/>
          <w:kern w:val="22"/>
          <w:szCs w:val="22"/>
          <w:lang w:val="fr-FR"/>
        </w:rPr>
        <w:t>Besoins en ressources par Division à partir des budgets de base intégrés pour l'année 2021</w:t>
      </w:r>
    </w:p>
    <w:p w14:paraId="785B92DE" w14:textId="5795B5D2" w:rsidR="00E525D8" w:rsidRPr="00E525D8" w:rsidRDefault="00E525D8" w:rsidP="00382991">
      <w:pPr>
        <w:spacing w:before="120" w:after="120"/>
        <w:rPr>
          <w:kern w:val="22"/>
          <w:szCs w:val="22"/>
          <w:lang w:val="fr-FR"/>
        </w:rPr>
      </w:pPr>
      <w:r>
        <w:rPr>
          <w:kern w:val="22"/>
          <w:szCs w:val="22"/>
          <w:lang w:val="fr-FR"/>
        </w:rPr>
        <w:t>(</w:t>
      </w:r>
      <w:r>
        <w:rPr>
          <w:i/>
          <w:iCs/>
          <w:kern w:val="22"/>
          <w:szCs w:val="22"/>
          <w:lang w:val="fr-FR"/>
        </w:rPr>
        <w:t>E</w:t>
      </w:r>
      <w:r w:rsidRPr="00E525D8">
        <w:rPr>
          <w:i/>
          <w:iCs/>
          <w:kern w:val="22"/>
          <w:szCs w:val="22"/>
          <w:lang w:val="fr-FR"/>
        </w:rPr>
        <w:t>n milliers de dollars américains</w:t>
      </w:r>
      <w:r>
        <w:rPr>
          <w:kern w:val="22"/>
          <w:szCs w:val="22"/>
          <w:lang w:val="fr-FR"/>
        </w:rPr>
        <w:t>)</w:t>
      </w:r>
    </w:p>
    <w:tbl>
      <w:tblPr>
        <w:tblW w:w="8907" w:type="dxa"/>
        <w:tblInd w:w="93" w:type="dxa"/>
        <w:tblLook w:val="04A0" w:firstRow="1" w:lastRow="0" w:firstColumn="1" w:lastColumn="0" w:noHBand="0" w:noVBand="1"/>
      </w:tblPr>
      <w:tblGrid>
        <w:gridCol w:w="5667"/>
        <w:gridCol w:w="1600"/>
        <w:gridCol w:w="1640"/>
      </w:tblGrid>
      <w:tr w:rsidR="00764B3C" w:rsidRPr="00226DFF" w14:paraId="3230429C" w14:textId="77777777" w:rsidTr="00226DFF">
        <w:trPr>
          <w:cantSplit/>
          <w:trHeight w:val="458"/>
        </w:trPr>
        <w:tc>
          <w:tcPr>
            <w:tcW w:w="5667" w:type="dxa"/>
            <w:vMerge w:val="restart"/>
            <w:tcBorders>
              <w:top w:val="single" w:sz="12" w:space="0" w:color="auto"/>
              <w:left w:val="nil"/>
              <w:bottom w:val="single" w:sz="8" w:space="0" w:color="auto"/>
              <w:right w:val="nil"/>
            </w:tcBorders>
            <w:shd w:val="clear" w:color="auto" w:fill="auto"/>
            <w:vAlign w:val="center"/>
            <w:hideMark/>
          </w:tcPr>
          <w:p w14:paraId="3BD47A0D" w14:textId="77777777" w:rsidR="00764B3C" w:rsidRPr="00226DFF" w:rsidRDefault="00764B3C" w:rsidP="00315701">
            <w:pPr>
              <w:rPr>
                <w:i/>
                <w:iCs/>
                <w:color w:val="000000" w:themeColor="text1"/>
                <w:kern w:val="22"/>
                <w:szCs w:val="22"/>
                <w:lang w:val="fr-FR"/>
              </w:rPr>
            </w:pPr>
          </w:p>
        </w:tc>
        <w:tc>
          <w:tcPr>
            <w:tcW w:w="1600" w:type="dxa"/>
            <w:vMerge w:val="restart"/>
            <w:tcBorders>
              <w:top w:val="single" w:sz="12" w:space="0" w:color="auto"/>
              <w:left w:val="nil"/>
              <w:bottom w:val="single" w:sz="8" w:space="0" w:color="auto"/>
              <w:right w:val="nil"/>
            </w:tcBorders>
            <w:shd w:val="clear" w:color="auto" w:fill="auto"/>
            <w:vAlign w:val="center"/>
            <w:hideMark/>
          </w:tcPr>
          <w:p w14:paraId="7CED2BCC" w14:textId="6484B612" w:rsidR="00764B3C" w:rsidRPr="00226DFF" w:rsidRDefault="00764B3C" w:rsidP="00315701">
            <w:pPr>
              <w:jc w:val="center"/>
              <w:rPr>
                <w:i/>
                <w:iCs/>
                <w:color w:val="000000" w:themeColor="text1"/>
                <w:kern w:val="22"/>
                <w:szCs w:val="22"/>
                <w:lang w:val="fr-FR"/>
              </w:rPr>
            </w:pPr>
            <w:r w:rsidRPr="00226DFF">
              <w:rPr>
                <w:i/>
                <w:iCs/>
                <w:color w:val="000000" w:themeColor="text1"/>
                <w:kern w:val="22"/>
                <w:szCs w:val="22"/>
                <w:lang w:val="fr-FR"/>
              </w:rPr>
              <w:t>2020</w:t>
            </w:r>
            <w:r w:rsidRPr="00226DFF">
              <w:rPr>
                <w:i/>
                <w:iCs/>
                <w:color w:val="000000" w:themeColor="text1"/>
                <w:kern w:val="22"/>
                <w:szCs w:val="22"/>
                <w:lang w:val="fr-FR"/>
              </w:rPr>
              <w:br/>
            </w:r>
          </w:p>
        </w:tc>
        <w:tc>
          <w:tcPr>
            <w:tcW w:w="1640" w:type="dxa"/>
            <w:vMerge w:val="restart"/>
            <w:tcBorders>
              <w:top w:val="single" w:sz="12" w:space="0" w:color="auto"/>
              <w:left w:val="nil"/>
              <w:bottom w:val="single" w:sz="8" w:space="0" w:color="auto"/>
              <w:right w:val="nil"/>
            </w:tcBorders>
            <w:shd w:val="clear" w:color="auto" w:fill="auto"/>
            <w:vAlign w:val="center"/>
            <w:hideMark/>
          </w:tcPr>
          <w:p w14:paraId="31B61AD6" w14:textId="5249B41E" w:rsidR="00764B3C" w:rsidRPr="00226DFF" w:rsidRDefault="00764B3C" w:rsidP="00315701">
            <w:pPr>
              <w:jc w:val="center"/>
              <w:rPr>
                <w:i/>
                <w:iCs/>
                <w:color w:val="000000" w:themeColor="text1"/>
                <w:kern w:val="22"/>
                <w:szCs w:val="22"/>
                <w:lang w:val="fr-FR"/>
              </w:rPr>
            </w:pPr>
            <w:r w:rsidRPr="00226DFF">
              <w:rPr>
                <w:i/>
                <w:iCs/>
                <w:color w:val="000000" w:themeColor="text1"/>
                <w:kern w:val="22"/>
                <w:szCs w:val="22"/>
                <w:lang w:val="fr-FR"/>
              </w:rPr>
              <w:t>2021</w:t>
            </w:r>
            <w:r w:rsidRPr="00226DFF">
              <w:rPr>
                <w:i/>
                <w:iCs/>
                <w:color w:val="000000" w:themeColor="text1"/>
                <w:kern w:val="22"/>
                <w:szCs w:val="22"/>
                <w:lang w:val="fr-FR"/>
              </w:rPr>
              <w:br/>
            </w:r>
          </w:p>
        </w:tc>
      </w:tr>
      <w:tr w:rsidR="00764B3C" w:rsidRPr="00226DFF" w14:paraId="7B0D29C6" w14:textId="77777777" w:rsidTr="00226DFF">
        <w:trPr>
          <w:cantSplit/>
          <w:trHeight w:val="458"/>
        </w:trPr>
        <w:tc>
          <w:tcPr>
            <w:tcW w:w="5667" w:type="dxa"/>
            <w:vMerge/>
            <w:tcBorders>
              <w:left w:val="nil"/>
              <w:bottom w:val="single" w:sz="8" w:space="0" w:color="auto"/>
              <w:right w:val="nil"/>
            </w:tcBorders>
            <w:vAlign w:val="center"/>
            <w:hideMark/>
          </w:tcPr>
          <w:p w14:paraId="00781D5D" w14:textId="77777777" w:rsidR="00764B3C" w:rsidRPr="00226DFF" w:rsidRDefault="00764B3C" w:rsidP="00315701">
            <w:pPr>
              <w:rPr>
                <w:i/>
                <w:iCs/>
                <w:color w:val="000000" w:themeColor="text1"/>
                <w:kern w:val="22"/>
                <w:szCs w:val="22"/>
                <w:lang w:val="fr-FR"/>
              </w:rPr>
            </w:pPr>
          </w:p>
        </w:tc>
        <w:tc>
          <w:tcPr>
            <w:tcW w:w="1600" w:type="dxa"/>
            <w:vMerge/>
            <w:tcBorders>
              <w:left w:val="nil"/>
              <w:bottom w:val="single" w:sz="8" w:space="0" w:color="auto"/>
              <w:right w:val="nil"/>
            </w:tcBorders>
            <w:vAlign w:val="center"/>
            <w:hideMark/>
          </w:tcPr>
          <w:p w14:paraId="14B9AE85" w14:textId="77777777" w:rsidR="00764B3C" w:rsidRPr="00226DFF" w:rsidRDefault="00764B3C" w:rsidP="00315701">
            <w:pPr>
              <w:rPr>
                <w:i/>
                <w:iCs/>
                <w:color w:val="000000" w:themeColor="text1"/>
                <w:kern w:val="22"/>
                <w:szCs w:val="22"/>
                <w:lang w:val="fr-FR"/>
              </w:rPr>
            </w:pPr>
          </w:p>
        </w:tc>
        <w:tc>
          <w:tcPr>
            <w:tcW w:w="1640" w:type="dxa"/>
            <w:vMerge/>
            <w:tcBorders>
              <w:left w:val="nil"/>
              <w:bottom w:val="single" w:sz="8" w:space="0" w:color="auto"/>
              <w:right w:val="nil"/>
            </w:tcBorders>
            <w:vAlign w:val="center"/>
            <w:hideMark/>
          </w:tcPr>
          <w:p w14:paraId="3268D702" w14:textId="77777777" w:rsidR="00764B3C" w:rsidRPr="00226DFF" w:rsidRDefault="00764B3C" w:rsidP="00315701">
            <w:pPr>
              <w:rPr>
                <w:i/>
                <w:iCs/>
                <w:color w:val="000000" w:themeColor="text1"/>
                <w:kern w:val="22"/>
                <w:szCs w:val="22"/>
                <w:lang w:val="fr-FR"/>
              </w:rPr>
            </w:pPr>
          </w:p>
        </w:tc>
      </w:tr>
      <w:tr w:rsidR="00764B3C" w:rsidRPr="00226DFF" w14:paraId="6074A1C0" w14:textId="77777777" w:rsidTr="00226DFF">
        <w:trPr>
          <w:cantSplit/>
          <w:trHeight w:val="433"/>
        </w:trPr>
        <w:tc>
          <w:tcPr>
            <w:tcW w:w="5667" w:type="dxa"/>
            <w:vMerge/>
            <w:tcBorders>
              <w:left w:val="nil"/>
              <w:bottom w:val="single" w:sz="8" w:space="0" w:color="auto"/>
              <w:right w:val="nil"/>
            </w:tcBorders>
            <w:vAlign w:val="center"/>
            <w:hideMark/>
          </w:tcPr>
          <w:p w14:paraId="43088269" w14:textId="77777777" w:rsidR="00764B3C" w:rsidRPr="00226DFF" w:rsidRDefault="00764B3C" w:rsidP="00315701">
            <w:pPr>
              <w:rPr>
                <w:i/>
                <w:iCs/>
                <w:color w:val="000000" w:themeColor="text1"/>
                <w:kern w:val="22"/>
                <w:szCs w:val="22"/>
                <w:lang w:val="fr-FR"/>
              </w:rPr>
            </w:pPr>
          </w:p>
        </w:tc>
        <w:tc>
          <w:tcPr>
            <w:tcW w:w="1600" w:type="dxa"/>
            <w:vMerge/>
            <w:tcBorders>
              <w:left w:val="nil"/>
              <w:bottom w:val="single" w:sz="8" w:space="0" w:color="auto"/>
              <w:right w:val="nil"/>
            </w:tcBorders>
            <w:vAlign w:val="center"/>
            <w:hideMark/>
          </w:tcPr>
          <w:p w14:paraId="180AA2DD" w14:textId="77777777" w:rsidR="00764B3C" w:rsidRPr="00226DFF" w:rsidRDefault="00764B3C" w:rsidP="00315701">
            <w:pPr>
              <w:rPr>
                <w:i/>
                <w:iCs/>
                <w:color w:val="000000" w:themeColor="text1"/>
                <w:kern w:val="22"/>
                <w:szCs w:val="22"/>
                <w:lang w:val="fr-FR"/>
              </w:rPr>
            </w:pPr>
          </w:p>
        </w:tc>
        <w:tc>
          <w:tcPr>
            <w:tcW w:w="1640" w:type="dxa"/>
            <w:vMerge/>
            <w:tcBorders>
              <w:left w:val="nil"/>
              <w:bottom w:val="single" w:sz="8" w:space="0" w:color="auto"/>
              <w:right w:val="nil"/>
            </w:tcBorders>
            <w:vAlign w:val="center"/>
            <w:hideMark/>
          </w:tcPr>
          <w:p w14:paraId="6B16B041" w14:textId="77777777" w:rsidR="00764B3C" w:rsidRPr="00226DFF" w:rsidRDefault="00764B3C" w:rsidP="00315701">
            <w:pPr>
              <w:rPr>
                <w:i/>
                <w:iCs/>
                <w:color w:val="000000" w:themeColor="text1"/>
                <w:kern w:val="22"/>
                <w:szCs w:val="22"/>
                <w:lang w:val="fr-FR"/>
              </w:rPr>
            </w:pPr>
          </w:p>
        </w:tc>
      </w:tr>
      <w:tr w:rsidR="00764B3C" w:rsidRPr="00226DFF" w14:paraId="6F92CA13" w14:textId="77777777" w:rsidTr="00226DFF">
        <w:trPr>
          <w:cantSplit/>
        </w:trPr>
        <w:tc>
          <w:tcPr>
            <w:tcW w:w="5667" w:type="dxa"/>
            <w:tcBorders>
              <w:top w:val="single" w:sz="8" w:space="0" w:color="auto"/>
              <w:left w:val="nil"/>
              <w:bottom w:val="nil"/>
              <w:right w:val="nil"/>
            </w:tcBorders>
            <w:shd w:val="clear" w:color="auto" w:fill="auto"/>
            <w:hideMark/>
          </w:tcPr>
          <w:p w14:paraId="756E3191" w14:textId="26400D9E" w:rsidR="00764B3C" w:rsidRPr="00226DFF" w:rsidRDefault="00764B3C" w:rsidP="00315701">
            <w:pPr>
              <w:rPr>
                <w:b/>
                <w:bCs/>
                <w:color w:val="000000" w:themeColor="text1"/>
                <w:kern w:val="22"/>
                <w:szCs w:val="22"/>
                <w:lang w:val="fr-FR"/>
              </w:rPr>
            </w:pPr>
            <w:r w:rsidRPr="00226DFF">
              <w:rPr>
                <w:b/>
                <w:bCs/>
                <w:color w:val="000000" w:themeColor="text1"/>
                <w:kern w:val="22"/>
                <w:szCs w:val="22"/>
                <w:lang w:val="fr-FR"/>
              </w:rPr>
              <w:t xml:space="preserve">I. </w:t>
            </w:r>
            <w:r w:rsidR="008E32B2" w:rsidRPr="00226DFF">
              <w:rPr>
                <w:b/>
                <w:bCs/>
                <w:color w:val="000000" w:themeColor="text1"/>
                <w:kern w:val="22"/>
                <w:szCs w:val="22"/>
                <w:lang w:val="fr-FR"/>
              </w:rPr>
              <w:t>Programmes :</w:t>
            </w:r>
          </w:p>
        </w:tc>
        <w:tc>
          <w:tcPr>
            <w:tcW w:w="1600" w:type="dxa"/>
            <w:tcBorders>
              <w:top w:val="single" w:sz="8" w:space="0" w:color="auto"/>
              <w:left w:val="nil"/>
              <w:bottom w:val="nil"/>
              <w:right w:val="nil"/>
            </w:tcBorders>
            <w:shd w:val="clear" w:color="auto" w:fill="auto"/>
            <w:vAlign w:val="center"/>
            <w:hideMark/>
          </w:tcPr>
          <w:p w14:paraId="39114BF8" w14:textId="77777777" w:rsidR="00764B3C" w:rsidRPr="00226DFF" w:rsidRDefault="00764B3C" w:rsidP="00315701">
            <w:pPr>
              <w:jc w:val="right"/>
              <w:rPr>
                <w:color w:val="000000" w:themeColor="text1"/>
                <w:kern w:val="22"/>
                <w:szCs w:val="22"/>
                <w:lang w:val="fr-FR"/>
              </w:rPr>
            </w:pPr>
          </w:p>
        </w:tc>
        <w:tc>
          <w:tcPr>
            <w:tcW w:w="1640" w:type="dxa"/>
            <w:tcBorders>
              <w:top w:val="single" w:sz="8" w:space="0" w:color="auto"/>
              <w:left w:val="nil"/>
              <w:bottom w:val="nil"/>
              <w:right w:val="nil"/>
            </w:tcBorders>
            <w:shd w:val="clear" w:color="auto" w:fill="auto"/>
            <w:vAlign w:val="center"/>
            <w:hideMark/>
          </w:tcPr>
          <w:p w14:paraId="679C3B10" w14:textId="77777777" w:rsidR="00764B3C" w:rsidRPr="00226DFF" w:rsidRDefault="00764B3C" w:rsidP="00315701">
            <w:pPr>
              <w:jc w:val="right"/>
              <w:rPr>
                <w:color w:val="000000" w:themeColor="text1"/>
                <w:kern w:val="22"/>
                <w:szCs w:val="22"/>
                <w:lang w:val="fr-FR"/>
              </w:rPr>
            </w:pPr>
          </w:p>
        </w:tc>
      </w:tr>
      <w:tr w:rsidR="00764B3C" w:rsidRPr="00226DFF" w14:paraId="6D693B20" w14:textId="77777777" w:rsidTr="00226DFF">
        <w:trPr>
          <w:trHeight w:val="288"/>
        </w:trPr>
        <w:tc>
          <w:tcPr>
            <w:tcW w:w="5667" w:type="dxa"/>
            <w:tcBorders>
              <w:top w:val="nil"/>
              <w:left w:val="nil"/>
              <w:bottom w:val="nil"/>
              <w:right w:val="nil"/>
            </w:tcBorders>
            <w:shd w:val="clear" w:color="auto" w:fill="auto"/>
            <w:hideMark/>
          </w:tcPr>
          <w:p w14:paraId="6D5F1F01" w14:textId="4CEAF23E" w:rsidR="00764B3C" w:rsidRPr="00226DFF" w:rsidRDefault="00764B3C" w:rsidP="00315701">
            <w:pPr>
              <w:rPr>
                <w:color w:val="000000" w:themeColor="text1"/>
                <w:kern w:val="22"/>
                <w:szCs w:val="22"/>
                <w:lang w:val="fr-FR"/>
              </w:rPr>
            </w:pPr>
            <w:r w:rsidRPr="00226DFF">
              <w:rPr>
                <w:color w:val="000000" w:themeColor="text1"/>
                <w:kern w:val="22"/>
                <w:szCs w:val="22"/>
                <w:lang w:val="fr-FR"/>
              </w:rPr>
              <w:t xml:space="preserve">  </w:t>
            </w:r>
            <w:r w:rsidR="00D15711" w:rsidRPr="00226DFF">
              <w:rPr>
                <w:color w:val="000000" w:themeColor="text1"/>
                <w:kern w:val="22"/>
                <w:szCs w:val="22"/>
                <w:lang w:val="fr-FR"/>
              </w:rPr>
              <w:t xml:space="preserve">Bureau de la Secrétaire exécutive </w:t>
            </w:r>
          </w:p>
        </w:tc>
        <w:tc>
          <w:tcPr>
            <w:tcW w:w="1600" w:type="dxa"/>
            <w:tcBorders>
              <w:top w:val="nil"/>
              <w:left w:val="nil"/>
              <w:bottom w:val="nil"/>
              <w:right w:val="nil"/>
            </w:tcBorders>
            <w:shd w:val="clear" w:color="auto" w:fill="auto"/>
            <w:hideMark/>
          </w:tcPr>
          <w:p w14:paraId="1B3CC727" w14:textId="77777777" w:rsidR="00764B3C" w:rsidRPr="00226DFF" w:rsidRDefault="00764B3C" w:rsidP="00315701">
            <w:pPr>
              <w:jc w:val="right"/>
              <w:rPr>
                <w:color w:val="000000" w:themeColor="text1"/>
                <w:kern w:val="22"/>
                <w:szCs w:val="22"/>
                <w:lang w:val="fr-FR"/>
              </w:rPr>
            </w:pPr>
            <w:r w:rsidRPr="00226DFF">
              <w:rPr>
                <w:color w:val="000000" w:themeColor="text1"/>
                <w:kern w:val="22"/>
                <w:szCs w:val="22"/>
                <w:lang w:val="fr-FR"/>
              </w:rPr>
              <w:t>3 444.8</w:t>
            </w:r>
          </w:p>
        </w:tc>
        <w:tc>
          <w:tcPr>
            <w:tcW w:w="1640" w:type="dxa"/>
            <w:tcBorders>
              <w:top w:val="nil"/>
              <w:left w:val="nil"/>
              <w:bottom w:val="nil"/>
              <w:right w:val="nil"/>
            </w:tcBorders>
            <w:shd w:val="clear" w:color="auto" w:fill="auto"/>
            <w:hideMark/>
          </w:tcPr>
          <w:p w14:paraId="05B0DF0A" w14:textId="5CC8B32B" w:rsidR="00764B3C" w:rsidRPr="00226DFF" w:rsidRDefault="003B4304" w:rsidP="00315701">
            <w:pPr>
              <w:jc w:val="right"/>
              <w:rPr>
                <w:color w:val="000000" w:themeColor="text1"/>
                <w:kern w:val="22"/>
                <w:szCs w:val="22"/>
                <w:lang w:val="fr-FR"/>
              </w:rPr>
            </w:pPr>
            <w:r w:rsidRPr="00226DFF">
              <w:rPr>
                <w:color w:val="000000" w:themeColor="text1"/>
                <w:kern w:val="22"/>
                <w:szCs w:val="22"/>
                <w:lang w:val="fr-FR"/>
              </w:rPr>
              <w:t>2,449.4</w:t>
            </w:r>
          </w:p>
        </w:tc>
      </w:tr>
      <w:tr w:rsidR="00764B3C" w:rsidRPr="00226DFF" w14:paraId="32DDD9C1" w14:textId="77777777" w:rsidTr="00226DFF">
        <w:trPr>
          <w:trHeight w:val="288"/>
        </w:trPr>
        <w:tc>
          <w:tcPr>
            <w:tcW w:w="5667" w:type="dxa"/>
            <w:tcBorders>
              <w:top w:val="nil"/>
              <w:left w:val="nil"/>
              <w:bottom w:val="nil"/>
              <w:right w:val="nil"/>
            </w:tcBorders>
            <w:shd w:val="clear" w:color="auto" w:fill="auto"/>
            <w:hideMark/>
          </w:tcPr>
          <w:p w14:paraId="790E392D" w14:textId="3DE06ECE" w:rsidR="00764B3C" w:rsidRPr="00226DFF" w:rsidRDefault="00764B3C" w:rsidP="00315701">
            <w:pPr>
              <w:rPr>
                <w:color w:val="000000" w:themeColor="text1"/>
                <w:kern w:val="22"/>
                <w:szCs w:val="22"/>
                <w:lang w:val="fr-FR"/>
              </w:rPr>
            </w:pPr>
            <w:r w:rsidRPr="00226DFF">
              <w:rPr>
                <w:color w:val="000000" w:themeColor="text1"/>
                <w:kern w:val="22"/>
                <w:szCs w:val="22"/>
                <w:lang w:val="fr-FR"/>
              </w:rPr>
              <w:t xml:space="preserve">  </w:t>
            </w:r>
            <w:r w:rsidR="00D15711" w:rsidRPr="00226DFF">
              <w:rPr>
                <w:color w:val="000000" w:themeColor="text1"/>
                <w:kern w:val="22"/>
                <w:szCs w:val="22"/>
                <w:lang w:val="fr-FR"/>
              </w:rPr>
              <w:t>Protocoles APA</w:t>
            </w:r>
            <w:r w:rsidRPr="00226DFF">
              <w:rPr>
                <w:color w:val="000000" w:themeColor="text1"/>
                <w:kern w:val="22"/>
                <w:szCs w:val="22"/>
                <w:lang w:val="fr-FR"/>
              </w:rPr>
              <w:t xml:space="preserve"> </w:t>
            </w:r>
            <w:r w:rsidR="00D15711" w:rsidRPr="00226DFF">
              <w:rPr>
                <w:color w:val="000000" w:themeColor="text1"/>
                <w:kern w:val="22"/>
                <w:szCs w:val="22"/>
                <w:lang w:val="fr-FR"/>
              </w:rPr>
              <w:t>et BS</w:t>
            </w:r>
          </w:p>
        </w:tc>
        <w:tc>
          <w:tcPr>
            <w:tcW w:w="1600" w:type="dxa"/>
            <w:tcBorders>
              <w:top w:val="nil"/>
              <w:left w:val="nil"/>
              <w:bottom w:val="nil"/>
              <w:right w:val="nil"/>
            </w:tcBorders>
            <w:shd w:val="clear" w:color="auto" w:fill="auto"/>
            <w:hideMark/>
          </w:tcPr>
          <w:p w14:paraId="719107AD" w14:textId="77777777" w:rsidR="00764B3C" w:rsidRPr="00226DFF" w:rsidRDefault="00764B3C" w:rsidP="00315701">
            <w:pPr>
              <w:jc w:val="right"/>
              <w:rPr>
                <w:color w:val="000000" w:themeColor="text1"/>
                <w:kern w:val="22"/>
                <w:szCs w:val="22"/>
                <w:lang w:val="fr-FR"/>
              </w:rPr>
            </w:pPr>
            <w:r w:rsidRPr="00226DFF">
              <w:rPr>
                <w:color w:val="000000" w:themeColor="text1"/>
                <w:kern w:val="22"/>
                <w:szCs w:val="22"/>
                <w:lang w:val="fr-FR"/>
              </w:rPr>
              <w:t>2 375.9</w:t>
            </w:r>
          </w:p>
        </w:tc>
        <w:tc>
          <w:tcPr>
            <w:tcW w:w="1640" w:type="dxa"/>
            <w:tcBorders>
              <w:top w:val="nil"/>
              <w:left w:val="nil"/>
              <w:bottom w:val="nil"/>
              <w:right w:val="nil"/>
            </w:tcBorders>
            <w:shd w:val="clear" w:color="auto" w:fill="auto"/>
            <w:hideMark/>
          </w:tcPr>
          <w:p w14:paraId="63E0670A" w14:textId="1A8E4F3E" w:rsidR="00764B3C" w:rsidRPr="00226DFF" w:rsidRDefault="003B4304" w:rsidP="00315701">
            <w:pPr>
              <w:jc w:val="right"/>
              <w:rPr>
                <w:color w:val="000000" w:themeColor="text1"/>
                <w:kern w:val="22"/>
                <w:szCs w:val="22"/>
                <w:lang w:val="fr-FR"/>
              </w:rPr>
            </w:pPr>
            <w:r w:rsidRPr="00226DFF">
              <w:rPr>
                <w:color w:val="000000" w:themeColor="text1"/>
                <w:kern w:val="22"/>
                <w:szCs w:val="22"/>
                <w:lang w:val="fr-FR"/>
              </w:rPr>
              <w:t>2,298.4</w:t>
            </w:r>
          </w:p>
        </w:tc>
      </w:tr>
      <w:tr w:rsidR="00764B3C" w:rsidRPr="00226DFF" w14:paraId="65A3EE74" w14:textId="77777777" w:rsidTr="00226DFF">
        <w:trPr>
          <w:trHeight w:val="288"/>
        </w:trPr>
        <w:tc>
          <w:tcPr>
            <w:tcW w:w="5667" w:type="dxa"/>
            <w:tcBorders>
              <w:top w:val="nil"/>
              <w:left w:val="nil"/>
              <w:bottom w:val="nil"/>
              <w:right w:val="nil"/>
            </w:tcBorders>
            <w:shd w:val="clear" w:color="auto" w:fill="auto"/>
            <w:hideMark/>
          </w:tcPr>
          <w:p w14:paraId="03F782E8" w14:textId="412D91D8" w:rsidR="00764B3C" w:rsidRPr="00226DFF" w:rsidRDefault="00764B3C" w:rsidP="00315701">
            <w:pPr>
              <w:rPr>
                <w:color w:val="000000" w:themeColor="text1"/>
                <w:kern w:val="22"/>
                <w:szCs w:val="22"/>
                <w:lang w:val="fr-FR"/>
              </w:rPr>
            </w:pPr>
            <w:r w:rsidRPr="00226DFF">
              <w:rPr>
                <w:color w:val="000000" w:themeColor="text1"/>
                <w:kern w:val="22"/>
                <w:szCs w:val="22"/>
                <w:lang w:val="fr-FR"/>
              </w:rPr>
              <w:t xml:space="preserve">  </w:t>
            </w:r>
            <w:r w:rsidR="00D15711" w:rsidRPr="00226DFF">
              <w:rPr>
                <w:color w:val="000000" w:themeColor="text1"/>
                <w:kern w:val="22"/>
                <w:szCs w:val="22"/>
                <w:lang w:val="fr-FR"/>
              </w:rPr>
              <w:t xml:space="preserve">Division de la </w:t>
            </w:r>
            <w:r w:rsidR="000854E5" w:rsidRPr="00226DFF">
              <w:rPr>
                <w:color w:val="000000" w:themeColor="text1"/>
                <w:kern w:val="22"/>
                <w:szCs w:val="22"/>
                <w:lang w:val="fr-FR"/>
              </w:rPr>
              <w:t>s</w:t>
            </w:r>
            <w:r w:rsidR="00D15711" w:rsidRPr="00226DFF">
              <w:rPr>
                <w:color w:val="000000" w:themeColor="text1"/>
                <w:kern w:val="22"/>
                <w:szCs w:val="22"/>
                <w:lang w:val="fr-FR"/>
              </w:rPr>
              <w:t>cience, de la société et de l'avenir durable</w:t>
            </w:r>
          </w:p>
        </w:tc>
        <w:tc>
          <w:tcPr>
            <w:tcW w:w="1600" w:type="dxa"/>
            <w:tcBorders>
              <w:top w:val="nil"/>
              <w:left w:val="nil"/>
              <w:bottom w:val="nil"/>
              <w:right w:val="nil"/>
            </w:tcBorders>
            <w:shd w:val="clear" w:color="auto" w:fill="auto"/>
            <w:hideMark/>
          </w:tcPr>
          <w:p w14:paraId="5A64938C" w14:textId="77777777" w:rsidR="00764B3C" w:rsidRPr="00226DFF" w:rsidRDefault="00764B3C" w:rsidP="00315701">
            <w:pPr>
              <w:jc w:val="right"/>
              <w:rPr>
                <w:color w:val="000000" w:themeColor="text1"/>
                <w:kern w:val="22"/>
                <w:szCs w:val="22"/>
                <w:lang w:val="fr-FR"/>
              </w:rPr>
            </w:pPr>
            <w:r w:rsidRPr="00226DFF">
              <w:rPr>
                <w:color w:val="000000" w:themeColor="text1"/>
                <w:kern w:val="22"/>
                <w:szCs w:val="22"/>
                <w:lang w:val="fr-FR"/>
              </w:rPr>
              <w:t>3 909.0</w:t>
            </w:r>
          </w:p>
        </w:tc>
        <w:tc>
          <w:tcPr>
            <w:tcW w:w="1640" w:type="dxa"/>
            <w:tcBorders>
              <w:top w:val="nil"/>
              <w:left w:val="nil"/>
              <w:bottom w:val="nil"/>
              <w:right w:val="nil"/>
            </w:tcBorders>
            <w:shd w:val="clear" w:color="auto" w:fill="auto"/>
            <w:hideMark/>
          </w:tcPr>
          <w:p w14:paraId="5F7D5147" w14:textId="6082B019" w:rsidR="00764B3C" w:rsidRPr="00226DFF" w:rsidRDefault="003B4304" w:rsidP="00315701">
            <w:pPr>
              <w:jc w:val="right"/>
              <w:rPr>
                <w:color w:val="000000" w:themeColor="text1"/>
                <w:kern w:val="22"/>
                <w:szCs w:val="22"/>
                <w:lang w:val="fr-FR"/>
              </w:rPr>
            </w:pPr>
            <w:r w:rsidRPr="00226DFF">
              <w:rPr>
                <w:color w:val="000000" w:themeColor="text1"/>
                <w:kern w:val="22"/>
                <w:szCs w:val="22"/>
                <w:lang w:val="fr-FR"/>
              </w:rPr>
              <w:t>3,350.1</w:t>
            </w:r>
          </w:p>
        </w:tc>
      </w:tr>
      <w:tr w:rsidR="00764B3C" w:rsidRPr="00226DFF" w14:paraId="5EE67935" w14:textId="77777777" w:rsidTr="00226DFF">
        <w:trPr>
          <w:trHeight w:val="300"/>
        </w:trPr>
        <w:tc>
          <w:tcPr>
            <w:tcW w:w="5667" w:type="dxa"/>
            <w:tcBorders>
              <w:top w:val="nil"/>
              <w:left w:val="nil"/>
              <w:bottom w:val="single" w:sz="8" w:space="0" w:color="auto"/>
              <w:right w:val="nil"/>
            </w:tcBorders>
            <w:shd w:val="clear" w:color="auto" w:fill="auto"/>
            <w:hideMark/>
          </w:tcPr>
          <w:p w14:paraId="5CFFB3ED" w14:textId="413758AF" w:rsidR="00764B3C" w:rsidRPr="00226DFF" w:rsidRDefault="00764B3C" w:rsidP="00315701">
            <w:pPr>
              <w:rPr>
                <w:color w:val="000000" w:themeColor="text1"/>
                <w:kern w:val="22"/>
                <w:szCs w:val="22"/>
                <w:lang w:val="fr-FR"/>
              </w:rPr>
            </w:pPr>
            <w:r w:rsidRPr="00226DFF">
              <w:rPr>
                <w:color w:val="000000" w:themeColor="text1"/>
                <w:kern w:val="22"/>
                <w:szCs w:val="22"/>
                <w:lang w:val="fr-FR"/>
              </w:rPr>
              <w:t xml:space="preserve">  </w:t>
            </w:r>
            <w:r w:rsidR="00D15711" w:rsidRPr="00226DFF">
              <w:rPr>
                <w:color w:val="000000" w:themeColor="text1"/>
                <w:kern w:val="22"/>
                <w:szCs w:val="22"/>
                <w:lang w:val="fr-FR"/>
              </w:rPr>
              <w:t>Division du soutien à la mise en œuvre</w:t>
            </w:r>
          </w:p>
        </w:tc>
        <w:tc>
          <w:tcPr>
            <w:tcW w:w="1600" w:type="dxa"/>
            <w:tcBorders>
              <w:top w:val="nil"/>
              <w:left w:val="nil"/>
              <w:bottom w:val="single" w:sz="8" w:space="0" w:color="auto"/>
              <w:right w:val="nil"/>
            </w:tcBorders>
            <w:shd w:val="clear" w:color="auto" w:fill="auto"/>
            <w:hideMark/>
          </w:tcPr>
          <w:p w14:paraId="05695B1C" w14:textId="77777777" w:rsidR="00764B3C" w:rsidRPr="00226DFF" w:rsidRDefault="00764B3C" w:rsidP="00315701">
            <w:pPr>
              <w:jc w:val="right"/>
              <w:rPr>
                <w:color w:val="000000" w:themeColor="text1"/>
                <w:kern w:val="22"/>
                <w:szCs w:val="22"/>
                <w:lang w:val="fr-FR"/>
              </w:rPr>
            </w:pPr>
            <w:r w:rsidRPr="00226DFF">
              <w:rPr>
                <w:color w:val="000000" w:themeColor="text1"/>
                <w:kern w:val="22"/>
                <w:szCs w:val="22"/>
                <w:lang w:val="fr-FR"/>
              </w:rPr>
              <w:t>3 708.2</w:t>
            </w:r>
          </w:p>
        </w:tc>
        <w:tc>
          <w:tcPr>
            <w:tcW w:w="1640" w:type="dxa"/>
            <w:tcBorders>
              <w:top w:val="nil"/>
              <w:left w:val="nil"/>
              <w:bottom w:val="single" w:sz="8" w:space="0" w:color="auto"/>
              <w:right w:val="nil"/>
            </w:tcBorders>
            <w:shd w:val="clear" w:color="auto" w:fill="auto"/>
            <w:hideMark/>
          </w:tcPr>
          <w:p w14:paraId="35D8F2C6" w14:textId="10AAA03A" w:rsidR="00764B3C" w:rsidRPr="00226DFF" w:rsidRDefault="003B4304" w:rsidP="00315701">
            <w:pPr>
              <w:jc w:val="right"/>
              <w:rPr>
                <w:color w:val="000000" w:themeColor="text1"/>
                <w:kern w:val="22"/>
                <w:szCs w:val="22"/>
                <w:lang w:val="fr-FR"/>
              </w:rPr>
            </w:pPr>
            <w:r w:rsidRPr="00226DFF">
              <w:rPr>
                <w:color w:val="000000" w:themeColor="text1"/>
                <w:kern w:val="22"/>
                <w:szCs w:val="22"/>
                <w:lang w:val="fr-FR"/>
              </w:rPr>
              <w:t>4,295.5</w:t>
            </w:r>
          </w:p>
        </w:tc>
      </w:tr>
      <w:tr w:rsidR="00764B3C" w:rsidRPr="00226DFF" w14:paraId="1206C857" w14:textId="77777777" w:rsidTr="00226DFF">
        <w:trPr>
          <w:trHeight w:val="300"/>
        </w:trPr>
        <w:tc>
          <w:tcPr>
            <w:tcW w:w="5667" w:type="dxa"/>
            <w:tcBorders>
              <w:top w:val="nil"/>
              <w:left w:val="nil"/>
              <w:bottom w:val="single" w:sz="8" w:space="0" w:color="auto"/>
              <w:right w:val="nil"/>
            </w:tcBorders>
            <w:shd w:val="clear" w:color="auto" w:fill="auto"/>
            <w:hideMark/>
          </w:tcPr>
          <w:p w14:paraId="4AC4D9F1" w14:textId="05093AB1" w:rsidR="00764B3C" w:rsidRPr="00226DFF" w:rsidRDefault="00764B3C" w:rsidP="00315701">
            <w:pPr>
              <w:rPr>
                <w:b/>
                <w:bCs/>
                <w:color w:val="000000" w:themeColor="text1"/>
                <w:kern w:val="22"/>
                <w:szCs w:val="22"/>
                <w:lang w:val="fr-FR"/>
              </w:rPr>
            </w:pPr>
            <w:r w:rsidRPr="00226DFF">
              <w:rPr>
                <w:b/>
                <w:bCs/>
                <w:color w:val="000000" w:themeColor="text1"/>
                <w:kern w:val="22"/>
                <w:szCs w:val="22"/>
                <w:lang w:val="fr-FR"/>
              </w:rPr>
              <w:t xml:space="preserve">II. </w:t>
            </w:r>
            <w:r w:rsidR="00D15711" w:rsidRPr="00226DFF">
              <w:rPr>
                <w:b/>
                <w:bCs/>
                <w:color w:val="000000" w:themeColor="text1"/>
                <w:kern w:val="22"/>
                <w:szCs w:val="22"/>
                <w:lang w:val="fr-FR"/>
              </w:rPr>
              <w:t>Administration, finances et services de conférence</w:t>
            </w:r>
          </w:p>
        </w:tc>
        <w:tc>
          <w:tcPr>
            <w:tcW w:w="1600" w:type="dxa"/>
            <w:tcBorders>
              <w:top w:val="nil"/>
              <w:left w:val="nil"/>
              <w:bottom w:val="single" w:sz="8" w:space="0" w:color="auto"/>
              <w:right w:val="nil"/>
            </w:tcBorders>
            <w:shd w:val="clear" w:color="auto" w:fill="auto"/>
            <w:hideMark/>
          </w:tcPr>
          <w:p w14:paraId="32EDCBFF" w14:textId="77777777" w:rsidR="00764B3C" w:rsidRPr="00226DFF" w:rsidRDefault="00764B3C" w:rsidP="00315701">
            <w:pPr>
              <w:jc w:val="right"/>
              <w:rPr>
                <w:color w:val="000000" w:themeColor="text1"/>
                <w:kern w:val="22"/>
                <w:szCs w:val="22"/>
                <w:lang w:val="fr-FR"/>
              </w:rPr>
            </w:pPr>
            <w:r w:rsidRPr="00226DFF">
              <w:rPr>
                <w:color w:val="000000" w:themeColor="text1"/>
                <w:kern w:val="22"/>
                <w:szCs w:val="22"/>
                <w:lang w:val="fr-FR"/>
              </w:rPr>
              <w:t>4 052.6</w:t>
            </w:r>
          </w:p>
        </w:tc>
        <w:tc>
          <w:tcPr>
            <w:tcW w:w="1640" w:type="dxa"/>
            <w:tcBorders>
              <w:top w:val="nil"/>
              <w:left w:val="nil"/>
              <w:bottom w:val="single" w:sz="8" w:space="0" w:color="auto"/>
              <w:right w:val="nil"/>
            </w:tcBorders>
            <w:shd w:val="clear" w:color="auto" w:fill="auto"/>
            <w:hideMark/>
          </w:tcPr>
          <w:p w14:paraId="67B7D22C" w14:textId="7CD18F2F" w:rsidR="00764B3C" w:rsidRPr="00226DFF" w:rsidRDefault="003B4304" w:rsidP="00315701">
            <w:pPr>
              <w:jc w:val="right"/>
              <w:rPr>
                <w:color w:val="000000" w:themeColor="text1"/>
                <w:kern w:val="22"/>
                <w:szCs w:val="22"/>
                <w:lang w:val="fr-FR"/>
              </w:rPr>
            </w:pPr>
            <w:r w:rsidRPr="00226DFF">
              <w:rPr>
                <w:color w:val="000000" w:themeColor="text1"/>
                <w:kern w:val="22"/>
                <w:szCs w:val="22"/>
                <w:lang w:val="fr-FR"/>
              </w:rPr>
              <w:t>2,926.7</w:t>
            </w:r>
          </w:p>
        </w:tc>
      </w:tr>
      <w:tr w:rsidR="00764B3C" w:rsidRPr="00226DFF" w14:paraId="76A670B8" w14:textId="77777777" w:rsidTr="00226DFF">
        <w:trPr>
          <w:trHeight w:val="300"/>
        </w:trPr>
        <w:tc>
          <w:tcPr>
            <w:tcW w:w="5667" w:type="dxa"/>
            <w:tcBorders>
              <w:top w:val="nil"/>
              <w:left w:val="nil"/>
              <w:bottom w:val="single" w:sz="12" w:space="0" w:color="auto"/>
              <w:right w:val="nil"/>
            </w:tcBorders>
            <w:shd w:val="clear" w:color="auto" w:fill="auto"/>
            <w:hideMark/>
          </w:tcPr>
          <w:p w14:paraId="294069BA" w14:textId="6563C565" w:rsidR="00764B3C" w:rsidRPr="00226DFF" w:rsidRDefault="00764B3C" w:rsidP="00315701">
            <w:pPr>
              <w:rPr>
                <w:b/>
                <w:bCs/>
                <w:color w:val="000000" w:themeColor="text1"/>
                <w:kern w:val="22"/>
                <w:szCs w:val="22"/>
                <w:lang w:val="fr-FR"/>
              </w:rPr>
            </w:pPr>
            <w:r w:rsidRPr="00226DFF">
              <w:rPr>
                <w:b/>
                <w:bCs/>
                <w:color w:val="000000" w:themeColor="text1"/>
                <w:kern w:val="22"/>
                <w:szCs w:val="22"/>
                <w:lang w:val="fr-FR"/>
              </w:rPr>
              <w:t>S</w:t>
            </w:r>
            <w:r w:rsidR="00D15711" w:rsidRPr="00226DFF">
              <w:rPr>
                <w:b/>
                <w:bCs/>
                <w:color w:val="000000" w:themeColor="text1"/>
                <w:kern w:val="22"/>
                <w:szCs w:val="22"/>
                <w:lang w:val="fr-FR"/>
              </w:rPr>
              <w:t>ous-total</w:t>
            </w:r>
          </w:p>
        </w:tc>
        <w:tc>
          <w:tcPr>
            <w:tcW w:w="1600" w:type="dxa"/>
            <w:tcBorders>
              <w:top w:val="nil"/>
              <w:left w:val="nil"/>
              <w:bottom w:val="single" w:sz="12" w:space="0" w:color="auto"/>
              <w:right w:val="nil"/>
            </w:tcBorders>
            <w:shd w:val="clear" w:color="auto" w:fill="auto"/>
            <w:hideMark/>
          </w:tcPr>
          <w:p w14:paraId="4CBD1095" w14:textId="77777777" w:rsidR="00764B3C" w:rsidRPr="00226DFF" w:rsidRDefault="00764B3C" w:rsidP="00315701">
            <w:pPr>
              <w:jc w:val="right"/>
              <w:rPr>
                <w:b/>
                <w:bCs/>
                <w:color w:val="000000" w:themeColor="text1"/>
                <w:kern w:val="22"/>
                <w:szCs w:val="22"/>
                <w:lang w:val="fr-FR"/>
              </w:rPr>
            </w:pPr>
            <w:r w:rsidRPr="00226DFF">
              <w:rPr>
                <w:b/>
                <w:bCs/>
                <w:color w:val="000000" w:themeColor="text1"/>
                <w:kern w:val="22"/>
                <w:szCs w:val="22"/>
                <w:lang w:val="fr-FR"/>
              </w:rPr>
              <w:t>17 490.5</w:t>
            </w:r>
          </w:p>
        </w:tc>
        <w:tc>
          <w:tcPr>
            <w:tcW w:w="1640" w:type="dxa"/>
            <w:tcBorders>
              <w:top w:val="nil"/>
              <w:left w:val="nil"/>
              <w:bottom w:val="single" w:sz="12" w:space="0" w:color="auto"/>
              <w:right w:val="nil"/>
            </w:tcBorders>
            <w:shd w:val="clear" w:color="auto" w:fill="auto"/>
            <w:hideMark/>
          </w:tcPr>
          <w:p w14:paraId="0C320996" w14:textId="0E6EEE2C" w:rsidR="00764B3C" w:rsidRPr="00226DFF" w:rsidRDefault="003B4304" w:rsidP="00315701">
            <w:pPr>
              <w:jc w:val="right"/>
              <w:rPr>
                <w:b/>
                <w:bCs/>
                <w:color w:val="000000" w:themeColor="text1"/>
                <w:kern w:val="22"/>
                <w:szCs w:val="22"/>
                <w:lang w:val="fr-FR"/>
              </w:rPr>
            </w:pPr>
            <w:r w:rsidRPr="00226DFF">
              <w:rPr>
                <w:b/>
                <w:bCs/>
                <w:color w:val="000000" w:themeColor="text1"/>
                <w:kern w:val="22"/>
                <w:szCs w:val="22"/>
                <w:lang w:val="fr-FR"/>
              </w:rPr>
              <w:t>15,320.1</w:t>
            </w:r>
          </w:p>
        </w:tc>
      </w:tr>
      <w:tr w:rsidR="00764B3C" w:rsidRPr="00226DFF" w14:paraId="1276AD69" w14:textId="77777777" w:rsidTr="00226DFF">
        <w:trPr>
          <w:trHeight w:val="300"/>
        </w:trPr>
        <w:tc>
          <w:tcPr>
            <w:tcW w:w="5667" w:type="dxa"/>
            <w:tcBorders>
              <w:top w:val="nil"/>
              <w:left w:val="nil"/>
              <w:bottom w:val="nil"/>
              <w:right w:val="nil"/>
            </w:tcBorders>
            <w:shd w:val="clear" w:color="auto" w:fill="auto"/>
            <w:hideMark/>
          </w:tcPr>
          <w:p w14:paraId="6A3F29A5" w14:textId="3F5049E0" w:rsidR="00764B3C" w:rsidRPr="00226DFF" w:rsidRDefault="00D15711" w:rsidP="00315701">
            <w:pPr>
              <w:rPr>
                <w:color w:val="000000" w:themeColor="text1"/>
                <w:kern w:val="22"/>
                <w:szCs w:val="22"/>
                <w:lang w:val="fr-FR"/>
              </w:rPr>
            </w:pPr>
            <w:r w:rsidRPr="00226DFF">
              <w:rPr>
                <w:color w:val="000000" w:themeColor="text1"/>
                <w:kern w:val="22"/>
                <w:szCs w:val="22"/>
                <w:lang w:val="fr-FR"/>
              </w:rPr>
              <w:t xml:space="preserve">Frais de soutien au programme </w:t>
            </w:r>
          </w:p>
        </w:tc>
        <w:tc>
          <w:tcPr>
            <w:tcW w:w="1600" w:type="dxa"/>
            <w:tcBorders>
              <w:top w:val="nil"/>
              <w:left w:val="nil"/>
              <w:bottom w:val="nil"/>
              <w:right w:val="nil"/>
            </w:tcBorders>
            <w:shd w:val="clear" w:color="auto" w:fill="auto"/>
            <w:noWrap/>
            <w:hideMark/>
          </w:tcPr>
          <w:p w14:paraId="30B5D45D" w14:textId="77777777" w:rsidR="00764B3C" w:rsidRPr="00226DFF" w:rsidRDefault="00764B3C" w:rsidP="00315701">
            <w:pPr>
              <w:jc w:val="right"/>
              <w:rPr>
                <w:color w:val="000000" w:themeColor="text1"/>
                <w:kern w:val="22"/>
                <w:szCs w:val="22"/>
                <w:lang w:val="fr-FR"/>
              </w:rPr>
            </w:pPr>
            <w:r w:rsidRPr="00226DFF">
              <w:rPr>
                <w:color w:val="000000" w:themeColor="text1"/>
                <w:kern w:val="22"/>
                <w:szCs w:val="22"/>
                <w:lang w:val="fr-FR"/>
              </w:rPr>
              <w:t>2 273.9</w:t>
            </w:r>
          </w:p>
        </w:tc>
        <w:tc>
          <w:tcPr>
            <w:tcW w:w="1640" w:type="dxa"/>
            <w:tcBorders>
              <w:top w:val="nil"/>
              <w:left w:val="nil"/>
              <w:bottom w:val="nil"/>
              <w:right w:val="nil"/>
            </w:tcBorders>
            <w:shd w:val="clear" w:color="auto" w:fill="auto"/>
            <w:hideMark/>
          </w:tcPr>
          <w:p w14:paraId="4AA0B619" w14:textId="50B3B745" w:rsidR="00764B3C" w:rsidRPr="00226DFF" w:rsidRDefault="003B4304" w:rsidP="00315701">
            <w:pPr>
              <w:jc w:val="right"/>
              <w:rPr>
                <w:color w:val="000000" w:themeColor="text1"/>
                <w:kern w:val="22"/>
                <w:szCs w:val="22"/>
                <w:lang w:val="fr-FR"/>
              </w:rPr>
            </w:pPr>
            <w:r w:rsidRPr="00226DFF">
              <w:rPr>
                <w:color w:val="000000" w:themeColor="text1"/>
                <w:kern w:val="22"/>
                <w:szCs w:val="22"/>
                <w:lang w:val="fr-FR"/>
              </w:rPr>
              <w:t>1,991.6</w:t>
            </w:r>
          </w:p>
        </w:tc>
      </w:tr>
      <w:tr w:rsidR="00764B3C" w:rsidRPr="00226DFF" w14:paraId="55D24027" w14:textId="77777777" w:rsidTr="00226DFF">
        <w:trPr>
          <w:trHeight w:val="300"/>
        </w:trPr>
        <w:tc>
          <w:tcPr>
            <w:tcW w:w="5667" w:type="dxa"/>
            <w:tcBorders>
              <w:top w:val="nil"/>
              <w:left w:val="nil"/>
              <w:bottom w:val="single" w:sz="8" w:space="0" w:color="auto"/>
              <w:right w:val="nil"/>
            </w:tcBorders>
            <w:shd w:val="clear" w:color="auto" w:fill="auto"/>
            <w:hideMark/>
          </w:tcPr>
          <w:p w14:paraId="6DE73DD4" w14:textId="5FAB5418" w:rsidR="00764B3C" w:rsidRPr="00226DFF" w:rsidRDefault="00764B3C" w:rsidP="00315701">
            <w:pPr>
              <w:rPr>
                <w:b/>
                <w:bCs/>
                <w:color w:val="000000" w:themeColor="text1"/>
                <w:kern w:val="22"/>
                <w:szCs w:val="22"/>
                <w:lang w:val="fr-FR"/>
              </w:rPr>
            </w:pPr>
            <w:r w:rsidRPr="00226DFF">
              <w:rPr>
                <w:b/>
                <w:bCs/>
                <w:color w:val="000000" w:themeColor="text1"/>
                <w:kern w:val="22"/>
                <w:szCs w:val="22"/>
                <w:lang w:val="fr-FR"/>
              </w:rPr>
              <w:t xml:space="preserve">III. </w:t>
            </w:r>
            <w:r w:rsidR="00D15711" w:rsidRPr="00226DFF">
              <w:rPr>
                <w:b/>
                <w:bCs/>
                <w:color w:val="000000" w:themeColor="text1"/>
                <w:kern w:val="22"/>
                <w:szCs w:val="22"/>
                <w:lang w:val="fr-FR"/>
              </w:rPr>
              <w:t xml:space="preserve">Réserve de trésorerie </w:t>
            </w:r>
          </w:p>
        </w:tc>
        <w:tc>
          <w:tcPr>
            <w:tcW w:w="1600" w:type="dxa"/>
            <w:tcBorders>
              <w:top w:val="nil"/>
              <w:left w:val="nil"/>
              <w:bottom w:val="single" w:sz="8" w:space="0" w:color="auto"/>
              <w:right w:val="nil"/>
            </w:tcBorders>
            <w:shd w:val="clear" w:color="auto" w:fill="auto"/>
            <w:noWrap/>
            <w:hideMark/>
          </w:tcPr>
          <w:p w14:paraId="230F649C" w14:textId="77777777" w:rsidR="00764B3C" w:rsidRPr="00226DFF" w:rsidRDefault="00764B3C" w:rsidP="00315701">
            <w:pPr>
              <w:jc w:val="right"/>
              <w:rPr>
                <w:color w:val="000000" w:themeColor="text1"/>
                <w:kern w:val="22"/>
                <w:szCs w:val="22"/>
                <w:lang w:val="fr-FR"/>
              </w:rPr>
            </w:pPr>
            <w:r w:rsidRPr="00226DFF">
              <w:rPr>
                <w:color w:val="000000" w:themeColor="text1"/>
                <w:kern w:val="22"/>
                <w:szCs w:val="22"/>
                <w:lang w:val="fr-FR"/>
              </w:rPr>
              <w:t>130.8</w:t>
            </w:r>
          </w:p>
        </w:tc>
        <w:tc>
          <w:tcPr>
            <w:tcW w:w="1640" w:type="dxa"/>
            <w:tcBorders>
              <w:top w:val="nil"/>
              <w:left w:val="nil"/>
              <w:bottom w:val="single" w:sz="8" w:space="0" w:color="auto"/>
              <w:right w:val="nil"/>
            </w:tcBorders>
            <w:shd w:val="clear" w:color="auto" w:fill="auto"/>
            <w:hideMark/>
          </w:tcPr>
          <w:p w14:paraId="20938140" w14:textId="198AAF21" w:rsidR="00764B3C" w:rsidRPr="00226DFF" w:rsidRDefault="003B4304" w:rsidP="00315701">
            <w:pPr>
              <w:jc w:val="right"/>
              <w:rPr>
                <w:color w:val="000000" w:themeColor="text1"/>
                <w:kern w:val="22"/>
                <w:szCs w:val="22"/>
                <w:lang w:val="fr-FR"/>
              </w:rPr>
            </w:pPr>
            <w:r w:rsidRPr="00226DFF">
              <w:rPr>
                <w:color w:val="000000" w:themeColor="text1"/>
                <w:kern w:val="22"/>
                <w:szCs w:val="22"/>
                <w:lang w:val="fr-FR"/>
              </w:rPr>
              <w:t>(367.9)</w:t>
            </w:r>
          </w:p>
        </w:tc>
      </w:tr>
      <w:tr w:rsidR="00764B3C" w:rsidRPr="00226DFF" w14:paraId="0102F198" w14:textId="77777777" w:rsidTr="00226DFF">
        <w:trPr>
          <w:trHeight w:val="300"/>
        </w:trPr>
        <w:tc>
          <w:tcPr>
            <w:tcW w:w="5667" w:type="dxa"/>
            <w:tcBorders>
              <w:top w:val="nil"/>
              <w:left w:val="nil"/>
              <w:bottom w:val="single" w:sz="8" w:space="0" w:color="auto"/>
              <w:right w:val="nil"/>
            </w:tcBorders>
            <w:shd w:val="clear" w:color="auto" w:fill="auto"/>
            <w:hideMark/>
          </w:tcPr>
          <w:p w14:paraId="7DF3F214" w14:textId="77777777" w:rsidR="00764B3C" w:rsidRPr="00226DFF" w:rsidRDefault="00764B3C" w:rsidP="00315701">
            <w:pPr>
              <w:rPr>
                <w:b/>
                <w:bCs/>
                <w:color w:val="000000" w:themeColor="text1"/>
                <w:kern w:val="22"/>
                <w:szCs w:val="22"/>
                <w:lang w:val="fr-FR"/>
              </w:rPr>
            </w:pPr>
            <w:r w:rsidRPr="00226DFF">
              <w:rPr>
                <w:b/>
                <w:bCs/>
                <w:color w:val="000000" w:themeColor="text1"/>
                <w:kern w:val="22"/>
                <w:szCs w:val="22"/>
                <w:lang w:val="fr-FR"/>
              </w:rPr>
              <w:t>Total</w:t>
            </w:r>
          </w:p>
        </w:tc>
        <w:tc>
          <w:tcPr>
            <w:tcW w:w="1600" w:type="dxa"/>
            <w:tcBorders>
              <w:top w:val="nil"/>
              <w:left w:val="nil"/>
              <w:bottom w:val="single" w:sz="8" w:space="0" w:color="auto"/>
              <w:right w:val="nil"/>
            </w:tcBorders>
            <w:shd w:val="clear" w:color="auto" w:fill="auto"/>
            <w:noWrap/>
            <w:hideMark/>
          </w:tcPr>
          <w:p w14:paraId="5BCD7469" w14:textId="77777777" w:rsidR="00764B3C" w:rsidRPr="00226DFF" w:rsidRDefault="00764B3C" w:rsidP="00315701">
            <w:pPr>
              <w:jc w:val="right"/>
              <w:rPr>
                <w:b/>
                <w:bCs/>
                <w:color w:val="000000" w:themeColor="text1"/>
                <w:kern w:val="22"/>
                <w:szCs w:val="22"/>
                <w:lang w:val="fr-FR"/>
              </w:rPr>
            </w:pPr>
            <w:r w:rsidRPr="00226DFF">
              <w:rPr>
                <w:b/>
                <w:bCs/>
                <w:color w:val="000000" w:themeColor="text1"/>
                <w:kern w:val="22"/>
                <w:szCs w:val="22"/>
                <w:lang w:val="fr-FR"/>
              </w:rPr>
              <w:t>19 895.2</w:t>
            </w:r>
          </w:p>
        </w:tc>
        <w:tc>
          <w:tcPr>
            <w:tcW w:w="1640" w:type="dxa"/>
            <w:tcBorders>
              <w:top w:val="nil"/>
              <w:left w:val="nil"/>
              <w:bottom w:val="single" w:sz="8" w:space="0" w:color="auto"/>
              <w:right w:val="nil"/>
            </w:tcBorders>
            <w:shd w:val="clear" w:color="auto" w:fill="auto"/>
            <w:hideMark/>
          </w:tcPr>
          <w:p w14:paraId="73F7B5B6" w14:textId="786D4F64" w:rsidR="00764B3C" w:rsidRPr="00226DFF" w:rsidRDefault="003B4304" w:rsidP="00315701">
            <w:pPr>
              <w:jc w:val="right"/>
              <w:rPr>
                <w:b/>
                <w:bCs/>
                <w:color w:val="000000" w:themeColor="text1"/>
                <w:kern w:val="22"/>
                <w:szCs w:val="22"/>
                <w:lang w:val="fr-FR"/>
              </w:rPr>
            </w:pPr>
            <w:r w:rsidRPr="00226DFF">
              <w:rPr>
                <w:b/>
                <w:bCs/>
                <w:color w:val="000000" w:themeColor="text1"/>
                <w:kern w:val="22"/>
                <w:szCs w:val="22"/>
                <w:lang w:val="fr-FR"/>
              </w:rPr>
              <w:t>16,943.8</w:t>
            </w:r>
          </w:p>
        </w:tc>
      </w:tr>
    </w:tbl>
    <w:p w14:paraId="6B9BF328" w14:textId="77777777" w:rsidR="007E6E94" w:rsidRPr="00014329" w:rsidRDefault="007E6E94" w:rsidP="00382991">
      <w:pPr>
        <w:spacing w:before="120" w:after="120"/>
        <w:rPr>
          <w:kern w:val="22"/>
          <w:szCs w:val="22"/>
          <w:lang w:val="fr-FR"/>
        </w:rPr>
      </w:pPr>
    </w:p>
    <w:p w14:paraId="2F777079" w14:textId="74AD839A" w:rsidR="00A72BCF" w:rsidRPr="007E6E94" w:rsidRDefault="00240733" w:rsidP="00226DFF">
      <w:pPr>
        <w:pStyle w:val="ListParagraph"/>
        <w:numPr>
          <w:ilvl w:val="0"/>
          <w:numId w:val="10"/>
        </w:numPr>
        <w:spacing w:before="120" w:after="120"/>
        <w:ind w:left="1080" w:hanging="540"/>
        <w:rPr>
          <w:b/>
          <w:bCs/>
          <w:kern w:val="22"/>
          <w:szCs w:val="22"/>
          <w:lang w:val="fr-FR"/>
        </w:rPr>
      </w:pPr>
      <w:r>
        <w:rPr>
          <w:b/>
          <w:bCs/>
          <w:kern w:val="22"/>
          <w:szCs w:val="22"/>
          <w:lang w:val="fr-FR"/>
        </w:rPr>
        <w:t>PROJET DE DÉCISION DE LA CONFÉRENCE DES PARTIES A EXAMINER SOIT PAR UNE RÉUNION VIRTUELLE EXTRAORDINAIRE, SOIT PAR UNE PROCÉDURE ÉCRITE EN VUE DE SON ADOPTION AVANT LA FIN DE 2020</w:t>
      </w:r>
    </w:p>
    <w:p w14:paraId="64308D29" w14:textId="1A6A7936" w:rsidR="006F2688" w:rsidRPr="00A72BCF" w:rsidRDefault="00A72BCF" w:rsidP="00A72BCF">
      <w:pPr>
        <w:spacing w:before="120" w:after="120"/>
        <w:rPr>
          <w:kern w:val="22"/>
          <w:szCs w:val="22"/>
          <w:lang w:val="fr-FR"/>
        </w:rPr>
      </w:pPr>
      <w:r w:rsidRPr="00A72BCF">
        <w:rPr>
          <w:kern w:val="22"/>
          <w:szCs w:val="22"/>
          <w:lang w:val="fr-FR"/>
        </w:rPr>
        <w:lastRenderedPageBreak/>
        <w:t xml:space="preserve">24. </w:t>
      </w:r>
      <w:r>
        <w:rPr>
          <w:kern w:val="22"/>
          <w:szCs w:val="22"/>
          <w:lang w:val="fr-FR"/>
        </w:rPr>
        <w:tab/>
        <w:t xml:space="preserve">La </w:t>
      </w:r>
      <w:r w:rsidRPr="00A72BCF">
        <w:rPr>
          <w:kern w:val="22"/>
          <w:lang w:val="fr-FR"/>
        </w:rPr>
        <w:t>Conférence des Parties souhaitera peut-être adopter une décision selon les lignes suivantes :</w:t>
      </w:r>
    </w:p>
    <w:p w14:paraId="19729975" w14:textId="7F7E8E51" w:rsidR="008A1029" w:rsidRPr="00EB645B" w:rsidRDefault="008A1029" w:rsidP="000322A9">
      <w:pPr>
        <w:pStyle w:val="Style1"/>
        <w:jc w:val="both"/>
        <w:rPr>
          <w:b w:val="0"/>
          <w:bCs w:val="0"/>
          <w:kern w:val="22"/>
          <w:lang w:val="fr-FR"/>
        </w:rPr>
      </w:pPr>
      <w:r>
        <w:rPr>
          <w:kern w:val="22"/>
          <w:lang w:val="fr-FR"/>
        </w:rPr>
        <w:tab/>
      </w:r>
      <w:r w:rsidRPr="00EB645B">
        <w:rPr>
          <w:b w:val="0"/>
          <w:bCs w:val="0"/>
          <w:kern w:val="22"/>
          <w:lang w:val="fr-FR"/>
        </w:rPr>
        <w:t>La Conférence des Parties</w:t>
      </w:r>
      <w:r w:rsidR="00974634">
        <w:rPr>
          <w:b w:val="0"/>
          <w:bCs w:val="0"/>
          <w:kern w:val="22"/>
          <w:lang w:val="fr-FR"/>
        </w:rPr>
        <w:t>,</w:t>
      </w:r>
    </w:p>
    <w:p w14:paraId="57CAA040" w14:textId="06BEE408" w:rsidR="00382991" w:rsidRPr="00014329" w:rsidRDefault="005B4EF3" w:rsidP="000322A9">
      <w:pPr>
        <w:spacing w:before="120" w:after="120"/>
        <w:ind w:firstLine="709"/>
        <w:rPr>
          <w:kern w:val="22"/>
          <w:szCs w:val="22"/>
          <w:lang w:val="fr-FR"/>
        </w:rPr>
      </w:pPr>
      <w:r w:rsidRPr="008A1029">
        <w:rPr>
          <w:i/>
          <w:iCs/>
          <w:kern w:val="22"/>
          <w:szCs w:val="22"/>
          <w:lang w:val="fr-FR"/>
        </w:rPr>
        <w:t>Rappelant</w:t>
      </w:r>
      <w:r w:rsidRPr="00014329">
        <w:rPr>
          <w:kern w:val="22"/>
          <w:szCs w:val="22"/>
          <w:lang w:val="fr-FR"/>
        </w:rPr>
        <w:t xml:space="preserve"> sa décision 14/37 qui </w:t>
      </w:r>
      <w:r w:rsidR="008A1029">
        <w:rPr>
          <w:kern w:val="22"/>
          <w:szCs w:val="22"/>
          <w:lang w:val="fr-FR"/>
        </w:rPr>
        <w:t xml:space="preserve">approuvait </w:t>
      </w:r>
      <w:r w:rsidRPr="00014329">
        <w:rPr>
          <w:kern w:val="22"/>
          <w:szCs w:val="22"/>
          <w:lang w:val="fr-FR"/>
        </w:rPr>
        <w:t>un budget pour l</w:t>
      </w:r>
      <w:r w:rsidR="00BA50F2">
        <w:rPr>
          <w:kern w:val="22"/>
          <w:szCs w:val="22"/>
          <w:lang w:val="fr-FR"/>
        </w:rPr>
        <w:t>’exercice biennal</w:t>
      </w:r>
      <w:r w:rsidRPr="00014329">
        <w:rPr>
          <w:kern w:val="22"/>
          <w:szCs w:val="22"/>
          <w:lang w:val="fr-FR"/>
        </w:rPr>
        <w:t xml:space="preserve"> 2019-2020, et demand</w:t>
      </w:r>
      <w:r w:rsidR="008A1029">
        <w:rPr>
          <w:kern w:val="22"/>
          <w:szCs w:val="22"/>
          <w:lang w:val="fr-FR"/>
        </w:rPr>
        <w:t>ait</w:t>
      </w:r>
      <w:r w:rsidRPr="00014329">
        <w:rPr>
          <w:kern w:val="22"/>
          <w:szCs w:val="22"/>
          <w:lang w:val="fr-FR"/>
        </w:rPr>
        <w:t xml:space="preserve"> </w:t>
      </w:r>
      <w:r w:rsidR="007B2B92">
        <w:rPr>
          <w:kern w:val="22"/>
          <w:szCs w:val="22"/>
          <w:lang w:val="fr-FR"/>
        </w:rPr>
        <w:t xml:space="preserve">à la </w:t>
      </w:r>
      <w:r w:rsidRPr="00014329">
        <w:rPr>
          <w:kern w:val="22"/>
          <w:szCs w:val="22"/>
          <w:lang w:val="fr-FR"/>
        </w:rPr>
        <w:t>Secrétaire exécuti</w:t>
      </w:r>
      <w:r w:rsidR="007B2B92">
        <w:rPr>
          <w:kern w:val="22"/>
          <w:szCs w:val="22"/>
          <w:lang w:val="fr-FR"/>
        </w:rPr>
        <w:t>ve</w:t>
      </w:r>
      <w:r w:rsidRPr="00014329">
        <w:rPr>
          <w:kern w:val="22"/>
          <w:szCs w:val="22"/>
          <w:lang w:val="fr-FR"/>
        </w:rPr>
        <w:t xml:space="preserve"> de préparer des propositions pour le budget </w:t>
      </w:r>
      <w:r w:rsidR="00BA50F2">
        <w:rPr>
          <w:kern w:val="22"/>
          <w:szCs w:val="22"/>
          <w:lang w:val="fr-FR"/>
        </w:rPr>
        <w:t>de l’exercice biennal</w:t>
      </w:r>
      <w:r w:rsidRPr="00014329">
        <w:rPr>
          <w:kern w:val="22"/>
          <w:szCs w:val="22"/>
          <w:lang w:val="fr-FR"/>
        </w:rPr>
        <w:t xml:space="preserve"> 2021-2022,</w:t>
      </w:r>
    </w:p>
    <w:p w14:paraId="55835799" w14:textId="4DE543B3" w:rsidR="00A269BA" w:rsidRPr="00014329" w:rsidRDefault="00A269BA" w:rsidP="000322A9">
      <w:pPr>
        <w:spacing w:before="120" w:after="120"/>
        <w:ind w:firstLine="709"/>
        <w:rPr>
          <w:kern w:val="22"/>
          <w:szCs w:val="22"/>
          <w:lang w:val="fr-FR"/>
        </w:rPr>
      </w:pPr>
      <w:r w:rsidRPr="008A1029">
        <w:rPr>
          <w:i/>
          <w:iCs/>
          <w:kern w:val="22"/>
          <w:szCs w:val="22"/>
          <w:lang w:val="fr-FR"/>
        </w:rPr>
        <w:t>Considérant</w:t>
      </w:r>
      <w:r w:rsidRPr="00014329">
        <w:rPr>
          <w:kern w:val="22"/>
          <w:szCs w:val="22"/>
          <w:lang w:val="fr-FR"/>
        </w:rPr>
        <w:t xml:space="preserve"> que la quinzième réunion de la Conférence des Parties a été reportée à 2021 en raison des contraintes liées à la pandémie COVID-19,  </w:t>
      </w:r>
    </w:p>
    <w:p w14:paraId="271F5F71" w14:textId="431F3F84" w:rsidR="00A269BA" w:rsidRPr="00014329" w:rsidRDefault="00A269BA" w:rsidP="000322A9">
      <w:pPr>
        <w:spacing w:before="120" w:after="120"/>
        <w:ind w:firstLine="709"/>
        <w:rPr>
          <w:kern w:val="22"/>
          <w:szCs w:val="22"/>
          <w:lang w:val="fr-FR"/>
        </w:rPr>
      </w:pPr>
      <w:r w:rsidRPr="004F0456">
        <w:rPr>
          <w:i/>
          <w:iCs/>
          <w:kern w:val="22"/>
          <w:szCs w:val="22"/>
          <w:lang w:val="fr-FR"/>
        </w:rPr>
        <w:t>Notant</w:t>
      </w:r>
      <w:r w:rsidRPr="00014329">
        <w:rPr>
          <w:kern w:val="22"/>
          <w:szCs w:val="22"/>
          <w:lang w:val="fr-FR"/>
        </w:rPr>
        <w:t xml:space="preserve">, par conséquent, la nécessité de prendre des dispositions pour permettre le fonctionnement continu des organes de la </w:t>
      </w:r>
      <w:r w:rsidR="0084074D">
        <w:rPr>
          <w:kern w:val="22"/>
          <w:szCs w:val="22"/>
          <w:lang w:val="fr-FR"/>
        </w:rPr>
        <w:t>C</w:t>
      </w:r>
      <w:r w:rsidRPr="00014329">
        <w:rPr>
          <w:kern w:val="22"/>
          <w:szCs w:val="22"/>
          <w:lang w:val="fr-FR"/>
        </w:rPr>
        <w:t xml:space="preserve">onvention, y compris son </w:t>
      </w:r>
      <w:r w:rsidR="004F0456">
        <w:rPr>
          <w:kern w:val="22"/>
          <w:szCs w:val="22"/>
          <w:lang w:val="fr-FR"/>
        </w:rPr>
        <w:t>S</w:t>
      </w:r>
      <w:r w:rsidRPr="00014329">
        <w:rPr>
          <w:kern w:val="22"/>
          <w:szCs w:val="22"/>
          <w:lang w:val="fr-FR"/>
        </w:rPr>
        <w:t xml:space="preserve">ecrétariat et les réunions de </w:t>
      </w:r>
      <w:r w:rsidR="004F0456">
        <w:rPr>
          <w:kern w:val="22"/>
          <w:szCs w:val="22"/>
          <w:lang w:val="fr-FR"/>
        </w:rPr>
        <w:t>la</w:t>
      </w:r>
      <w:r w:rsidRPr="00014329">
        <w:rPr>
          <w:kern w:val="22"/>
          <w:szCs w:val="22"/>
          <w:lang w:val="fr-FR"/>
        </w:rPr>
        <w:t xml:space="preserve"> </w:t>
      </w:r>
      <w:r w:rsidR="004F0456">
        <w:rPr>
          <w:kern w:val="22"/>
          <w:szCs w:val="22"/>
          <w:lang w:val="fr-FR"/>
        </w:rPr>
        <w:t>C</w:t>
      </w:r>
      <w:r w:rsidRPr="00014329">
        <w:rPr>
          <w:kern w:val="22"/>
          <w:szCs w:val="22"/>
          <w:lang w:val="fr-FR"/>
        </w:rPr>
        <w:t xml:space="preserve">onférence des </w:t>
      </w:r>
      <w:r w:rsidR="003F7A1D">
        <w:rPr>
          <w:kern w:val="22"/>
          <w:szCs w:val="22"/>
          <w:lang w:val="fr-FR"/>
        </w:rPr>
        <w:t>P</w:t>
      </w:r>
      <w:r w:rsidRPr="00014329">
        <w:rPr>
          <w:kern w:val="22"/>
          <w:szCs w:val="22"/>
          <w:lang w:val="fr-FR"/>
        </w:rPr>
        <w:t xml:space="preserve">arties et de ses </w:t>
      </w:r>
      <w:r w:rsidR="00A84CE4">
        <w:rPr>
          <w:kern w:val="22"/>
          <w:szCs w:val="22"/>
          <w:lang w:val="fr-FR"/>
        </w:rPr>
        <w:t>o</w:t>
      </w:r>
      <w:r w:rsidRPr="00014329">
        <w:rPr>
          <w:kern w:val="22"/>
          <w:szCs w:val="22"/>
          <w:lang w:val="fr-FR"/>
        </w:rPr>
        <w:t>rganes subsidiaires,</w:t>
      </w:r>
    </w:p>
    <w:p w14:paraId="2DB101BC" w14:textId="77777777" w:rsidR="00A269BA" w:rsidRPr="00014329" w:rsidRDefault="00A269BA" w:rsidP="000322A9">
      <w:pPr>
        <w:spacing w:before="120" w:after="120"/>
        <w:ind w:firstLine="709"/>
        <w:rPr>
          <w:kern w:val="22"/>
          <w:szCs w:val="22"/>
          <w:lang w:val="fr-FR"/>
        </w:rPr>
      </w:pPr>
      <w:r w:rsidRPr="004F0456">
        <w:rPr>
          <w:i/>
          <w:iCs/>
          <w:kern w:val="22"/>
          <w:szCs w:val="22"/>
          <w:lang w:val="fr-FR"/>
        </w:rPr>
        <w:t>Prenant note</w:t>
      </w:r>
      <w:r w:rsidRPr="00014329">
        <w:rPr>
          <w:kern w:val="22"/>
          <w:szCs w:val="22"/>
          <w:lang w:val="fr-FR"/>
        </w:rPr>
        <w:t xml:space="preserve"> de la proposition du Bureau de la Conférence des Parties que, à titre exceptionnel, les Parties examinent et approuvent un budget intérimaire pour 2021 selon des modalités convenues,</w:t>
      </w:r>
    </w:p>
    <w:p w14:paraId="4981A0DB" w14:textId="0B461065" w:rsidR="008E32B2" w:rsidRDefault="00A269BA" w:rsidP="00EB645B">
      <w:pPr>
        <w:spacing w:before="120" w:after="120"/>
        <w:ind w:firstLine="709"/>
        <w:rPr>
          <w:kern w:val="22"/>
          <w:szCs w:val="22"/>
          <w:lang w:val="fr-FR"/>
        </w:rPr>
      </w:pPr>
      <w:r w:rsidRPr="004F0456">
        <w:rPr>
          <w:i/>
          <w:iCs/>
          <w:kern w:val="22"/>
          <w:szCs w:val="22"/>
          <w:lang w:val="fr-FR"/>
        </w:rPr>
        <w:t>Prenant note</w:t>
      </w:r>
      <w:r w:rsidRPr="00014329">
        <w:rPr>
          <w:kern w:val="22"/>
          <w:szCs w:val="22"/>
          <w:lang w:val="fr-FR"/>
        </w:rPr>
        <w:t xml:space="preserve"> </w:t>
      </w:r>
      <w:r w:rsidR="004F0456" w:rsidRPr="004F0456">
        <w:rPr>
          <w:i/>
          <w:iCs/>
          <w:kern w:val="22"/>
          <w:szCs w:val="22"/>
          <w:lang w:val="fr-FR"/>
        </w:rPr>
        <w:t>également</w:t>
      </w:r>
      <w:r w:rsidR="004F0456">
        <w:rPr>
          <w:kern w:val="22"/>
          <w:szCs w:val="22"/>
          <w:lang w:val="fr-FR"/>
        </w:rPr>
        <w:t xml:space="preserve"> </w:t>
      </w:r>
      <w:r w:rsidRPr="00014329">
        <w:rPr>
          <w:kern w:val="22"/>
          <w:szCs w:val="22"/>
          <w:lang w:val="fr-FR"/>
        </w:rPr>
        <w:t>d</w:t>
      </w:r>
      <w:r w:rsidR="00537B68">
        <w:rPr>
          <w:kern w:val="22"/>
          <w:szCs w:val="22"/>
          <w:lang w:val="fr-FR"/>
        </w:rPr>
        <w:t xml:space="preserve">e la note </w:t>
      </w:r>
      <w:r w:rsidRPr="00014329">
        <w:rPr>
          <w:kern w:val="22"/>
          <w:szCs w:val="22"/>
          <w:lang w:val="fr-FR"/>
        </w:rPr>
        <w:t>d</w:t>
      </w:r>
      <w:r w:rsidR="007B2B92">
        <w:rPr>
          <w:kern w:val="22"/>
          <w:szCs w:val="22"/>
          <w:lang w:val="fr-FR"/>
        </w:rPr>
        <w:t>e la</w:t>
      </w:r>
      <w:r w:rsidRPr="00014329">
        <w:rPr>
          <w:kern w:val="22"/>
          <w:szCs w:val="22"/>
          <w:lang w:val="fr-FR"/>
        </w:rPr>
        <w:t xml:space="preserve"> Secrétaire exécuti</w:t>
      </w:r>
      <w:r w:rsidR="007B2B92">
        <w:rPr>
          <w:kern w:val="22"/>
          <w:szCs w:val="22"/>
          <w:lang w:val="fr-FR"/>
        </w:rPr>
        <w:t>ve</w:t>
      </w:r>
      <w:r w:rsidR="00DC7648">
        <w:rPr>
          <w:rStyle w:val="FootnoteReference"/>
          <w:kern w:val="22"/>
        </w:rPr>
        <w:footnoteReference w:customMarkFollows="1" w:id="7"/>
        <w:t>4</w:t>
      </w:r>
      <w:r w:rsidR="00537B68">
        <w:rPr>
          <w:kern w:val="22"/>
          <w:szCs w:val="22"/>
          <w:lang w:val="fr-FR"/>
        </w:rPr>
        <w:t xml:space="preserve">, </w:t>
      </w:r>
    </w:p>
    <w:p w14:paraId="49223571" w14:textId="7710D69C" w:rsidR="00A269BA" w:rsidRPr="008E32B2" w:rsidRDefault="00A269BA" w:rsidP="008E32B2">
      <w:pPr>
        <w:spacing w:before="120" w:after="120"/>
        <w:ind w:firstLine="709"/>
        <w:rPr>
          <w:kern w:val="22"/>
          <w:szCs w:val="22"/>
          <w:lang w:val="fr-FR"/>
        </w:rPr>
      </w:pPr>
      <w:r w:rsidRPr="004F0456">
        <w:rPr>
          <w:i/>
          <w:iCs/>
          <w:kern w:val="22"/>
          <w:szCs w:val="22"/>
          <w:lang w:val="fr-FR"/>
        </w:rPr>
        <w:t>Reconnaissant</w:t>
      </w:r>
      <w:r w:rsidRPr="008E32B2">
        <w:rPr>
          <w:kern w:val="22"/>
          <w:szCs w:val="22"/>
          <w:lang w:val="fr-FR"/>
        </w:rPr>
        <w:t xml:space="preserve"> le caractère exceptionnel des circonstances découlant de la pandémie et exprimant la solidarité de toutes les </w:t>
      </w:r>
      <w:r w:rsidR="003F7A1D">
        <w:rPr>
          <w:kern w:val="22"/>
          <w:szCs w:val="22"/>
          <w:lang w:val="fr-FR"/>
        </w:rPr>
        <w:t>P</w:t>
      </w:r>
      <w:r w:rsidRPr="008E32B2">
        <w:rPr>
          <w:kern w:val="22"/>
          <w:szCs w:val="22"/>
          <w:lang w:val="fr-FR"/>
        </w:rPr>
        <w:t>arties face à ses conséquences humaines et économiques,</w:t>
      </w:r>
    </w:p>
    <w:p w14:paraId="79B18C89" w14:textId="5C157128" w:rsidR="00A269BA" w:rsidRPr="00014329" w:rsidRDefault="00A269BA" w:rsidP="005B7371">
      <w:pPr>
        <w:pStyle w:val="ListParagraph"/>
        <w:numPr>
          <w:ilvl w:val="0"/>
          <w:numId w:val="1"/>
        </w:numPr>
        <w:spacing w:before="120" w:after="120"/>
        <w:ind w:left="0" w:firstLine="704"/>
        <w:rPr>
          <w:kern w:val="22"/>
          <w:szCs w:val="22"/>
          <w:lang w:val="fr-FR"/>
        </w:rPr>
      </w:pPr>
      <w:r w:rsidRPr="00014329">
        <w:rPr>
          <w:i/>
          <w:iCs/>
          <w:kern w:val="22"/>
          <w:szCs w:val="22"/>
          <w:lang w:val="fr-FR"/>
        </w:rPr>
        <w:t xml:space="preserve">Décide </w:t>
      </w:r>
      <w:r w:rsidRPr="00014329">
        <w:rPr>
          <w:kern w:val="22"/>
          <w:szCs w:val="22"/>
          <w:lang w:val="fr-FR"/>
        </w:rPr>
        <w:t xml:space="preserve">de prolonger, jusqu'au 31 décembre 2021, ou, dans le cas où la </w:t>
      </w:r>
      <w:r w:rsidR="00BC46C4">
        <w:rPr>
          <w:kern w:val="22"/>
          <w:szCs w:val="22"/>
          <w:lang w:val="fr-FR"/>
        </w:rPr>
        <w:t>quinzième réunion de la Conférence des Parties</w:t>
      </w:r>
      <w:r w:rsidRPr="00014329">
        <w:rPr>
          <w:kern w:val="22"/>
          <w:szCs w:val="22"/>
          <w:lang w:val="fr-FR"/>
        </w:rPr>
        <w:t xml:space="preserve"> ne se tiendrait pas en 2021, jusqu'à la fin du mois suivant la clôture de la </w:t>
      </w:r>
      <w:r w:rsidR="00BC46C4">
        <w:rPr>
          <w:kern w:val="22"/>
          <w:szCs w:val="22"/>
          <w:lang w:val="fr-FR"/>
        </w:rPr>
        <w:t>quinzième réunion de la Conférence des Parties</w:t>
      </w:r>
      <w:r w:rsidRPr="00014329">
        <w:rPr>
          <w:kern w:val="22"/>
          <w:szCs w:val="22"/>
          <w:lang w:val="fr-FR"/>
        </w:rPr>
        <w:t>, la validité des fonds alloués dans le budget 2019-2020 associé aux coûts des réunions de la C</w:t>
      </w:r>
      <w:r w:rsidR="00BC46C4">
        <w:rPr>
          <w:kern w:val="22"/>
          <w:szCs w:val="22"/>
          <w:lang w:val="fr-FR"/>
        </w:rPr>
        <w:t>onférence des Parties</w:t>
      </w:r>
      <w:r w:rsidRPr="00014329">
        <w:rPr>
          <w:kern w:val="22"/>
          <w:szCs w:val="22"/>
          <w:lang w:val="fr-FR"/>
        </w:rPr>
        <w:t xml:space="preserve"> et de ses </w:t>
      </w:r>
      <w:r w:rsidR="00A84CE4">
        <w:rPr>
          <w:kern w:val="22"/>
          <w:szCs w:val="22"/>
          <w:lang w:val="fr-FR"/>
        </w:rPr>
        <w:t>o</w:t>
      </w:r>
      <w:r w:rsidRPr="00014329">
        <w:rPr>
          <w:kern w:val="22"/>
          <w:szCs w:val="22"/>
          <w:lang w:val="fr-FR"/>
        </w:rPr>
        <w:t>rganes subsidiaires qui sont reportées de l'exercice biennal 2019-2020 ;</w:t>
      </w:r>
      <w:r w:rsidRPr="00014329">
        <w:rPr>
          <w:i/>
          <w:iCs/>
          <w:kern w:val="22"/>
          <w:szCs w:val="22"/>
          <w:lang w:val="fr-FR"/>
        </w:rPr>
        <w:t xml:space="preserve"> </w:t>
      </w:r>
    </w:p>
    <w:p w14:paraId="72E0DC25" w14:textId="5C4AE177" w:rsidR="00382991" w:rsidRPr="00014329" w:rsidRDefault="00A269BA" w:rsidP="005B7371">
      <w:pPr>
        <w:pStyle w:val="ListParagraph"/>
        <w:numPr>
          <w:ilvl w:val="0"/>
          <w:numId w:val="1"/>
        </w:numPr>
        <w:spacing w:before="120" w:after="120"/>
        <w:ind w:left="0" w:firstLine="704"/>
        <w:jc w:val="left"/>
        <w:rPr>
          <w:kern w:val="22"/>
          <w:szCs w:val="22"/>
          <w:lang w:val="fr-FR"/>
        </w:rPr>
      </w:pPr>
      <w:r w:rsidRPr="00014329">
        <w:rPr>
          <w:rFonts w:eastAsia="Malgun Gothic"/>
          <w:i/>
          <w:color w:val="000000" w:themeColor="text1"/>
          <w:kern w:val="22"/>
          <w:szCs w:val="22"/>
          <w:lang w:val="fr-FR" w:eastAsia="x-none"/>
        </w:rPr>
        <w:t>Approuve</w:t>
      </w:r>
      <w:r w:rsidRPr="00014329">
        <w:rPr>
          <w:rFonts w:eastAsia="Malgun Gothic"/>
          <w:iCs/>
          <w:color w:val="000000" w:themeColor="text1"/>
          <w:kern w:val="22"/>
          <w:szCs w:val="22"/>
          <w:lang w:val="fr-FR" w:eastAsia="x-none"/>
        </w:rPr>
        <w:t xml:space="preserve">, à titre exceptionnel, un budget-programme de base pour la Convention de 12.538.412 dollars </w:t>
      </w:r>
      <w:r w:rsidR="0067294A" w:rsidRPr="0067294A">
        <w:rPr>
          <w:iCs/>
          <w:kern w:val="22"/>
          <w:szCs w:val="22"/>
          <w:lang w:val="fr-FR"/>
        </w:rPr>
        <w:t>É.-U</w:t>
      </w:r>
      <w:r w:rsidR="0067294A" w:rsidRPr="00014329">
        <w:rPr>
          <w:rFonts w:eastAsia="Malgun Gothic"/>
          <w:iCs/>
          <w:color w:val="000000" w:themeColor="text1"/>
          <w:kern w:val="22"/>
          <w:szCs w:val="22"/>
          <w:lang w:val="fr-FR" w:eastAsia="x-none"/>
        </w:rPr>
        <w:t xml:space="preserve"> </w:t>
      </w:r>
      <w:r w:rsidRPr="00014329">
        <w:rPr>
          <w:rFonts w:eastAsia="Malgun Gothic"/>
          <w:iCs/>
          <w:color w:val="000000" w:themeColor="text1"/>
          <w:kern w:val="22"/>
          <w:szCs w:val="22"/>
          <w:lang w:val="fr-FR" w:eastAsia="x-none"/>
        </w:rPr>
        <w:t xml:space="preserve">pour l'année 2021, représentant 74 </w:t>
      </w:r>
      <w:r w:rsidR="00733BE0">
        <w:rPr>
          <w:rFonts w:eastAsia="Malgun Gothic"/>
          <w:iCs/>
          <w:color w:val="000000" w:themeColor="text1"/>
          <w:kern w:val="22"/>
          <w:szCs w:val="22"/>
          <w:lang w:val="fr-FR" w:eastAsia="x-none"/>
        </w:rPr>
        <w:t xml:space="preserve">pour cent </w:t>
      </w:r>
      <w:r w:rsidRPr="00014329">
        <w:rPr>
          <w:rFonts w:eastAsia="Malgun Gothic"/>
          <w:iCs/>
          <w:color w:val="000000" w:themeColor="text1"/>
          <w:kern w:val="22"/>
          <w:szCs w:val="22"/>
          <w:lang w:val="fr-FR" w:eastAsia="x-none"/>
        </w:rPr>
        <w:t xml:space="preserve">du budget intérimaire intégré de 16.943.800 dollars </w:t>
      </w:r>
      <w:r w:rsidR="0067294A" w:rsidRPr="0067294A">
        <w:rPr>
          <w:iCs/>
          <w:kern w:val="22"/>
          <w:szCs w:val="22"/>
          <w:lang w:val="fr-FR"/>
        </w:rPr>
        <w:t>É.-U</w:t>
      </w:r>
      <w:r w:rsidR="0067294A" w:rsidRPr="00014329">
        <w:rPr>
          <w:rFonts w:eastAsia="Malgun Gothic"/>
          <w:iCs/>
          <w:color w:val="000000" w:themeColor="text1"/>
          <w:kern w:val="22"/>
          <w:szCs w:val="22"/>
          <w:lang w:val="fr-FR" w:eastAsia="x-none"/>
        </w:rPr>
        <w:t xml:space="preserve"> </w:t>
      </w:r>
      <w:r w:rsidRPr="00014329">
        <w:rPr>
          <w:rFonts w:eastAsia="Malgun Gothic"/>
          <w:iCs/>
          <w:color w:val="000000" w:themeColor="text1"/>
          <w:kern w:val="22"/>
          <w:szCs w:val="22"/>
          <w:lang w:val="fr-FR" w:eastAsia="x-none"/>
        </w:rPr>
        <w:t>pour l'année 2021, aux fins énumérées dans les tableaux 5a et 5b ci-dessus ;</w:t>
      </w:r>
    </w:p>
    <w:p w14:paraId="4351C9DE" w14:textId="4B73E4BF" w:rsidR="00A269BA" w:rsidRPr="00014329" w:rsidRDefault="00A269BA" w:rsidP="005B7371">
      <w:pPr>
        <w:pStyle w:val="ListParagraph"/>
        <w:numPr>
          <w:ilvl w:val="0"/>
          <w:numId w:val="1"/>
        </w:numPr>
        <w:spacing w:before="120" w:after="120"/>
        <w:ind w:left="0" w:firstLine="704"/>
        <w:contextualSpacing w:val="0"/>
        <w:rPr>
          <w:kern w:val="22"/>
          <w:szCs w:val="22"/>
          <w:lang w:val="fr-FR"/>
        </w:rPr>
      </w:pPr>
      <w:r w:rsidRPr="00014329">
        <w:rPr>
          <w:rFonts w:eastAsia="Malgun Gothic"/>
          <w:i/>
          <w:iCs/>
          <w:color w:val="000000" w:themeColor="text1"/>
          <w:kern w:val="22"/>
          <w:szCs w:val="22"/>
          <w:lang w:val="fr-FR" w:eastAsia="ko-KR"/>
        </w:rPr>
        <w:t xml:space="preserve">Décide </w:t>
      </w:r>
      <w:r w:rsidRPr="00014329">
        <w:rPr>
          <w:rFonts w:eastAsia="Malgun Gothic"/>
          <w:color w:val="000000" w:themeColor="text1"/>
          <w:kern w:val="22"/>
          <w:szCs w:val="22"/>
          <w:lang w:val="fr-FR" w:eastAsia="ko-KR"/>
        </w:rPr>
        <w:t>de répartir tous les coûts des services de secrétariat entre la Convention, le Protocole de Cart</w:t>
      </w:r>
      <w:r w:rsidR="003F7A1D">
        <w:rPr>
          <w:rFonts w:eastAsia="Malgun Gothic"/>
          <w:color w:val="000000" w:themeColor="text1"/>
          <w:kern w:val="22"/>
          <w:szCs w:val="22"/>
          <w:lang w:val="fr-FR" w:eastAsia="ko-KR"/>
        </w:rPr>
        <w:t>a</w:t>
      </w:r>
      <w:r w:rsidRPr="00014329">
        <w:rPr>
          <w:rFonts w:eastAsia="Malgun Gothic"/>
          <w:color w:val="000000" w:themeColor="text1"/>
          <w:kern w:val="22"/>
          <w:szCs w:val="22"/>
          <w:lang w:val="fr-FR" w:eastAsia="ko-KR"/>
        </w:rPr>
        <w:t>g</w:t>
      </w:r>
      <w:r w:rsidR="003F7A1D">
        <w:rPr>
          <w:rFonts w:eastAsia="Malgun Gothic"/>
          <w:color w:val="000000" w:themeColor="text1"/>
          <w:kern w:val="22"/>
          <w:szCs w:val="22"/>
          <w:lang w:val="fr-FR" w:eastAsia="ko-KR"/>
        </w:rPr>
        <w:t>ena</w:t>
      </w:r>
      <w:r w:rsidRPr="00014329">
        <w:rPr>
          <w:rFonts w:eastAsia="Malgun Gothic"/>
          <w:color w:val="000000" w:themeColor="text1"/>
          <w:kern w:val="22"/>
          <w:szCs w:val="22"/>
          <w:lang w:val="fr-FR" w:eastAsia="ko-KR"/>
        </w:rPr>
        <w:t xml:space="preserve"> et le Protocole de Nagoya selon un rapport de </w:t>
      </w:r>
      <w:proofErr w:type="gramStart"/>
      <w:r w:rsidRPr="00014329">
        <w:rPr>
          <w:rFonts w:eastAsia="Malgun Gothic"/>
          <w:color w:val="000000" w:themeColor="text1"/>
          <w:kern w:val="22"/>
          <w:szCs w:val="22"/>
          <w:lang w:val="fr-FR" w:eastAsia="ko-KR"/>
        </w:rPr>
        <w:t>74:</w:t>
      </w:r>
      <w:proofErr w:type="gramEnd"/>
      <w:r w:rsidRPr="00014329">
        <w:rPr>
          <w:rFonts w:eastAsia="Malgun Gothic"/>
          <w:color w:val="000000" w:themeColor="text1"/>
          <w:kern w:val="22"/>
          <w:szCs w:val="22"/>
          <w:lang w:val="fr-FR" w:eastAsia="ko-KR"/>
        </w:rPr>
        <w:t>15:11 pour l'année 2021</w:t>
      </w:r>
    </w:p>
    <w:p w14:paraId="0FA1072D" w14:textId="77777777" w:rsidR="001E335E" w:rsidRPr="00014329" w:rsidRDefault="00A269BA" w:rsidP="005B7371">
      <w:pPr>
        <w:pStyle w:val="ListParagraph"/>
        <w:numPr>
          <w:ilvl w:val="0"/>
          <w:numId w:val="1"/>
        </w:numPr>
        <w:spacing w:before="120" w:after="120"/>
        <w:ind w:left="0" w:firstLine="704"/>
        <w:contextualSpacing w:val="0"/>
        <w:rPr>
          <w:kern w:val="22"/>
          <w:szCs w:val="22"/>
          <w:lang w:val="fr-FR"/>
        </w:rPr>
      </w:pPr>
      <w:r w:rsidRPr="00014329">
        <w:rPr>
          <w:i/>
          <w:iCs/>
          <w:color w:val="000000" w:themeColor="text1"/>
          <w:kern w:val="22"/>
          <w:szCs w:val="22"/>
          <w:lang w:val="fr-FR"/>
        </w:rPr>
        <w:t>Exprime</w:t>
      </w:r>
      <w:r w:rsidRPr="00014329">
        <w:rPr>
          <w:color w:val="000000" w:themeColor="text1"/>
          <w:kern w:val="22"/>
          <w:szCs w:val="22"/>
          <w:lang w:val="fr-FR"/>
        </w:rPr>
        <w:t xml:space="preserve"> sa gratitude au gouvernement du Canada en tant que pays hôte pour son soutien renouvelé au Secrétariat et se félicite de la contribution de 2 072 000 dollars canadiens pour l'année 2021 du pays hôte et de la province de Québec pour la location et les coûts associés du Secrétariat à Montréal, à répartir selon un ratio de </w:t>
      </w:r>
      <w:proofErr w:type="gramStart"/>
      <w:r w:rsidRPr="00014329">
        <w:rPr>
          <w:color w:val="000000" w:themeColor="text1"/>
          <w:kern w:val="22"/>
          <w:szCs w:val="22"/>
          <w:lang w:val="fr-FR"/>
        </w:rPr>
        <w:t>74:</w:t>
      </w:r>
      <w:proofErr w:type="gramEnd"/>
      <w:r w:rsidRPr="00014329">
        <w:rPr>
          <w:color w:val="000000" w:themeColor="text1"/>
          <w:kern w:val="22"/>
          <w:szCs w:val="22"/>
          <w:lang w:val="fr-FR"/>
        </w:rPr>
        <w:t>15:11 et des contributions compensatoires des Parties à la Convention, au Protocole de Cartagena et au Protocole de Nagoya, respectivement, pour l'année 2021 ;</w:t>
      </w:r>
    </w:p>
    <w:p w14:paraId="5AFEEA2E" w14:textId="171D15A3" w:rsidR="001E335E" w:rsidRPr="00014329" w:rsidRDefault="001E335E" w:rsidP="005B7371">
      <w:pPr>
        <w:pStyle w:val="ListParagraph"/>
        <w:numPr>
          <w:ilvl w:val="0"/>
          <w:numId w:val="1"/>
        </w:numPr>
        <w:spacing w:before="120" w:after="120"/>
        <w:ind w:left="0" w:firstLine="704"/>
        <w:contextualSpacing w:val="0"/>
        <w:rPr>
          <w:kern w:val="22"/>
          <w:szCs w:val="22"/>
          <w:lang w:val="fr-FR"/>
        </w:rPr>
      </w:pPr>
      <w:r w:rsidRPr="00014329">
        <w:rPr>
          <w:rFonts w:eastAsia="Malgun Gothic"/>
          <w:i/>
          <w:iCs/>
          <w:color w:val="000000" w:themeColor="text1"/>
          <w:kern w:val="22"/>
          <w:szCs w:val="22"/>
          <w:lang w:val="fr-FR" w:eastAsia="x-none"/>
        </w:rPr>
        <w:t xml:space="preserve">Adopte </w:t>
      </w:r>
      <w:r w:rsidRPr="008E32B2">
        <w:rPr>
          <w:rFonts w:eastAsia="Malgun Gothic"/>
          <w:color w:val="000000" w:themeColor="text1"/>
          <w:kern w:val="22"/>
          <w:szCs w:val="22"/>
          <w:lang w:val="fr-FR" w:eastAsia="x-none"/>
        </w:rPr>
        <w:t xml:space="preserve">le barème des quotes-parts pour la répartition des dépenses pour 2021, conformément au barème des quotes-parts actuel de l'Organisation des Nations </w:t>
      </w:r>
      <w:r w:rsidR="00D2222A">
        <w:rPr>
          <w:rFonts w:eastAsia="Malgun Gothic"/>
          <w:color w:val="000000" w:themeColor="text1"/>
          <w:kern w:val="22"/>
          <w:szCs w:val="22"/>
          <w:lang w:val="fr-FR" w:eastAsia="x-none"/>
        </w:rPr>
        <w:t>u</w:t>
      </w:r>
      <w:r w:rsidRPr="008E32B2">
        <w:rPr>
          <w:rFonts w:eastAsia="Malgun Gothic"/>
          <w:color w:val="000000" w:themeColor="text1"/>
          <w:kern w:val="22"/>
          <w:szCs w:val="22"/>
          <w:lang w:val="fr-FR" w:eastAsia="x-none"/>
        </w:rPr>
        <w:t xml:space="preserve">nies, </w:t>
      </w:r>
      <w:r w:rsidR="00D2222A">
        <w:rPr>
          <w:rFonts w:eastAsia="Malgun Gothic"/>
          <w:color w:val="000000" w:themeColor="text1"/>
          <w:kern w:val="22"/>
          <w:szCs w:val="22"/>
          <w:lang w:val="fr-FR" w:eastAsia="x-none"/>
        </w:rPr>
        <w:t>figurant</w:t>
      </w:r>
      <w:r w:rsidRPr="008E32B2">
        <w:rPr>
          <w:rFonts w:eastAsia="Malgun Gothic"/>
          <w:color w:val="000000" w:themeColor="text1"/>
          <w:kern w:val="22"/>
          <w:szCs w:val="22"/>
          <w:lang w:val="fr-FR" w:eastAsia="x-none"/>
        </w:rPr>
        <w:t xml:space="preserve"> dans les tableaux 7, 8 et 9 de la présente décision ;</w:t>
      </w:r>
    </w:p>
    <w:p w14:paraId="7740E9C6" w14:textId="16C0C1B5" w:rsidR="001E335E" w:rsidRPr="00014329" w:rsidRDefault="001E335E" w:rsidP="005B7371">
      <w:pPr>
        <w:pStyle w:val="ListParagraph"/>
        <w:numPr>
          <w:ilvl w:val="0"/>
          <w:numId w:val="1"/>
        </w:numPr>
        <w:spacing w:before="120" w:after="120"/>
        <w:ind w:left="0" w:firstLine="704"/>
        <w:contextualSpacing w:val="0"/>
        <w:rPr>
          <w:kern w:val="22"/>
          <w:szCs w:val="22"/>
          <w:lang w:val="fr-FR"/>
        </w:rPr>
      </w:pPr>
      <w:r w:rsidRPr="00014329">
        <w:rPr>
          <w:rFonts w:eastAsia="Malgun Gothic"/>
          <w:i/>
          <w:iCs/>
          <w:color w:val="000000" w:themeColor="text1"/>
          <w:kern w:val="22"/>
          <w:szCs w:val="22"/>
          <w:lang w:val="fr-FR" w:eastAsia="x-none"/>
        </w:rPr>
        <w:t xml:space="preserve"> Adopte également </w:t>
      </w:r>
      <w:r w:rsidRPr="008E32B2">
        <w:rPr>
          <w:rFonts w:eastAsia="Malgun Gothic"/>
          <w:color w:val="000000" w:themeColor="text1"/>
          <w:kern w:val="22"/>
          <w:szCs w:val="22"/>
          <w:lang w:val="fr-FR" w:eastAsia="x-none"/>
        </w:rPr>
        <w:t xml:space="preserve">le tableau d'effectifs </w:t>
      </w:r>
      <w:r w:rsidR="00815FCB">
        <w:rPr>
          <w:rFonts w:eastAsia="Malgun Gothic"/>
          <w:color w:val="000000" w:themeColor="text1"/>
          <w:kern w:val="22"/>
          <w:szCs w:val="22"/>
          <w:lang w:val="fr-FR" w:eastAsia="x-none"/>
        </w:rPr>
        <w:t xml:space="preserve">(tableau </w:t>
      </w:r>
      <w:r w:rsidRPr="008E32B2">
        <w:rPr>
          <w:rFonts w:eastAsia="Malgun Gothic"/>
          <w:color w:val="000000" w:themeColor="text1"/>
          <w:kern w:val="22"/>
          <w:szCs w:val="22"/>
          <w:lang w:val="fr-FR" w:eastAsia="x-none"/>
        </w:rPr>
        <w:t>6</w:t>
      </w:r>
      <w:r w:rsidR="00815FCB">
        <w:rPr>
          <w:rFonts w:eastAsia="Malgun Gothic"/>
          <w:color w:val="000000" w:themeColor="text1"/>
          <w:kern w:val="22"/>
          <w:szCs w:val="22"/>
          <w:lang w:val="fr-FR" w:eastAsia="x-none"/>
        </w:rPr>
        <w:t>)</w:t>
      </w:r>
      <w:r w:rsidRPr="008E32B2">
        <w:rPr>
          <w:rFonts w:eastAsia="Malgun Gothic"/>
          <w:color w:val="000000" w:themeColor="text1"/>
          <w:kern w:val="22"/>
          <w:szCs w:val="22"/>
          <w:lang w:val="fr-FR" w:eastAsia="x-none"/>
        </w:rPr>
        <w:t xml:space="preserve"> du Secrétariat pour l'année 2021, </w:t>
      </w:r>
      <w:r w:rsidR="00815FCB">
        <w:rPr>
          <w:rFonts w:eastAsia="Malgun Gothic"/>
          <w:color w:val="000000" w:themeColor="text1"/>
          <w:kern w:val="22"/>
          <w:szCs w:val="22"/>
          <w:lang w:val="fr-FR" w:eastAsia="x-none"/>
        </w:rPr>
        <w:t xml:space="preserve">à être </w:t>
      </w:r>
      <w:r w:rsidRPr="008E32B2">
        <w:rPr>
          <w:rFonts w:eastAsia="Malgun Gothic"/>
          <w:color w:val="000000" w:themeColor="text1"/>
          <w:kern w:val="22"/>
          <w:szCs w:val="22"/>
          <w:lang w:val="fr-FR" w:eastAsia="x-none"/>
        </w:rPr>
        <w:t>utilisé aux fins de l'établissement des coûts pour fixer le budget global ;</w:t>
      </w:r>
    </w:p>
    <w:p w14:paraId="6FF5C914" w14:textId="77777777" w:rsidR="009F4EDC" w:rsidRPr="009F4EDC" w:rsidRDefault="001E335E" w:rsidP="005B7371">
      <w:pPr>
        <w:pStyle w:val="ListParagraph"/>
        <w:numPr>
          <w:ilvl w:val="0"/>
          <w:numId w:val="1"/>
        </w:numPr>
        <w:spacing w:before="120" w:after="120"/>
        <w:ind w:left="0" w:firstLine="704"/>
        <w:contextualSpacing w:val="0"/>
        <w:rPr>
          <w:kern w:val="22"/>
          <w:szCs w:val="22"/>
          <w:lang w:val="fr-FR"/>
        </w:rPr>
      </w:pPr>
      <w:r w:rsidRPr="00014329">
        <w:rPr>
          <w:rFonts w:eastAsia="Malgun Gothic"/>
          <w:i/>
          <w:iCs/>
          <w:color w:val="000000" w:themeColor="text1"/>
          <w:kern w:val="22"/>
          <w:szCs w:val="22"/>
          <w:lang w:val="fr-FR" w:eastAsia="x-none"/>
        </w:rPr>
        <w:t xml:space="preserve">Autorise </w:t>
      </w:r>
      <w:r w:rsidRPr="008E32B2">
        <w:rPr>
          <w:rFonts w:eastAsia="Malgun Gothic"/>
          <w:color w:val="000000" w:themeColor="text1"/>
          <w:kern w:val="22"/>
          <w:szCs w:val="22"/>
          <w:lang w:val="fr-FR" w:eastAsia="x-none"/>
        </w:rPr>
        <w:t>l</w:t>
      </w:r>
      <w:r w:rsidR="007B2B92">
        <w:rPr>
          <w:rFonts w:eastAsia="Malgun Gothic"/>
          <w:color w:val="000000" w:themeColor="text1"/>
          <w:kern w:val="22"/>
          <w:szCs w:val="22"/>
          <w:lang w:val="fr-FR" w:eastAsia="x-none"/>
        </w:rPr>
        <w:t>a</w:t>
      </w:r>
      <w:r w:rsidRPr="008E32B2">
        <w:rPr>
          <w:rFonts w:eastAsia="Malgun Gothic"/>
          <w:color w:val="000000" w:themeColor="text1"/>
          <w:kern w:val="22"/>
          <w:szCs w:val="22"/>
          <w:lang w:val="fr-FR" w:eastAsia="x-none"/>
        </w:rPr>
        <w:t xml:space="preserve"> Secrétaire exécuti</w:t>
      </w:r>
      <w:r w:rsidR="007B2B92">
        <w:rPr>
          <w:rFonts w:eastAsia="Malgun Gothic"/>
          <w:color w:val="000000" w:themeColor="text1"/>
          <w:kern w:val="22"/>
          <w:szCs w:val="22"/>
          <w:lang w:val="fr-FR" w:eastAsia="x-none"/>
        </w:rPr>
        <w:t>ve</w:t>
      </w:r>
      <w:r w:rsidRPr="008E32B2">
        <w:rPr>
          <w:rFonts w:eastAsia="Malgun Gothic"/>
          <w:color w:val="000000" w:themeColor="text1"/>
          <w:kern w:val="22"/>
          <w:szCs w:val="22"/>
          <w:lang w:val="fr-FR" w:eastAsia="x-none"/>
        </w:rPr>
        <w:t xml:space="preserve"> à engager des dépenses à concurrence du budget approuvé, en utilisant les ressources de trésorerie disponibles, y compris les soldes non dépensés, les contributions des exercices financiers précédents et les recettes diverses, conformément au Règlement financier et aux règles de gestion financière du Programme des Nations </w:t>
      </w:r>
      <w:r w:rsidR="00FB195E">
        <w:rPr>
          <w:rFonts w:eastAsia="Malgun Gothic"/>
          <w:color w:val="000000" w:themeColor="text1"/>
          <w:kern w:val="22"/>
          <w:szCs w:val="22"/>
          <w:lang w:val="fr-FR" w:eastAsia="x-none"/>
        </w:rPr>
        <w:t>u</w:t>
      </w:r>
      <w:r w:rsidRPr="008E32B2">
        <w:rPr>
          <w:rFonts w:eastAsia="Malgun Gothic"/>
          <w:color w:val="000000" w:themeColor="text1"/>
          <w:kern w:val="22"/>
          <w:szCs w:val="22"/>
          <w:lang w:val="fr-FR" w:eastAsia="x-none"/>
        </w:rPr>
        <w:t>nies pour l'environnement ;</w:t>
      </w:r>
    </w:p>
    <w:p w14:paraId="0994B568" w14:textId="53EA4B39" w:rsidR="008E32B2" w:rsidRPr="009F4EDC" w:rsidRDefault="009F4EDC" w:rsidP="005B7371">
      <w:pPr>
        <w:pStyle w:val="ListParagraph"/>
        <w:numPr>
          <w:ilvl w:val="0"/>
          <w:numId w:val="1"/>
        </w:numPr>
        <w:spacing w:before="120" w:after="120"/>
        <w:ind w:left="0" w:firstLine="704"/>
        <w:contextualSpacing w:val="0"/>
        <w:rPr>
          <w:color w:val="000000" w:themeColor="text1"/>
          <w:kern w:val="22"/>
          <w:szCs w:val="22"/>
          <w:lang w:val="fr-FR"/>
        </w:rPr>
      </w:pPr>
      <w:r w:rsidRPr="009F4EDC">
        <w:rPr>
          <w:rFonts w:eastAsia="Malgun Gothic"/>
          <w:i/>
          <w:iCs/>
          <w:color w:val="000000" w:themeColor="text1"/>
          <w:kern w:val="22"/>
          <w:szCs w:val="22"/>
          <w:lang w:val="fr-FR" w:eastAsia="x-none"/>
        </w:rPr>
        <w:t xml:space="preserve">Autorise </w:t>
      </w:r>
      <w:r w:rsidRPr="009F4EDC">
        <w:rPr>
          <w:rFonts w:eastAsia="Malgun Gothic"/>
          <w:color w:val="000000" w:themeColor="text1"/>
          <w:kern w:val="22"/>
          <w:szCs w:val="22"/>
          <w:lang w:val="fr-FR" w:eastAsia="x-none"/>
        </w:rPr>
        <w:t xml:space="preserve">également la Secrétaire exécutive à transférer des ressources entre les programmes entre chacune des principales lignes de crédit figurant dans le tableau 5b </w:t>
      </w:r>
      <w:r w:rsidR="00815FCB">
        <w:rPr>
          <w:rFonts w:eastAsia="Malgun Gothic"/>
          <w:color w:val="000000" w:themeColor="text1"/>
          <w:kern w:val="22"/>
          <w:szCs w:val="22"/>
          <w:lang w:val="fr-FR" w:eastAsia="x-none"/>
        </w:rPr>
        <w:t xml:space="preserve">de la note de la Secrétaire </w:t>
      </w:r>
      <w:r w:rsidR="00815FCB">
        <w:rPr>
          <w:rFonts w:eastAsia="Malgun Gothic"/>
          <w:color w:val="000000" w:themeColor="text1"/>
          <w:kern w:val="22"/>
          <w:szCs w:val="22"/>
          <w:lang w:val="fr-FR" w:eastAsia="x-none"/>
        </w:rPr>
        <w:lastRenderedPageBreak/>
        <w:t>exécutive</w:t>
      </w:r>
      <w:r w:rsidRPr="009F4EDC">
        <w:rPr>
          <w:rFonts w:eastAsia="Malgun Gothic"/>
          <w:color w:val="000000" w:themeColor="text1"/>
          <w:kern w:val="22"/>
          <w:szCs w:val="22"/>
          <w:lang w:val="fr-FR" w:eastAsia="x-none"/>
        </w:rPr>
        <w:t>, jusqu'à un total de 15</w:t>
      </w:r>
      <w:r w:rsidR="0001777E">
        <w:rPr>
          <w:rFonts w:eastAsia="Malgun Gothic"/>
          <w:color w:val="000000" w:themeColor="text1"/>
          <w:kern w:val="22"/>
          <w:szCs w:val="22"/>
          <w:lang w:val="fr-FR" w:eastAsia="x-none"/>
        </w:rPr>
        <w:t xml:space="preserve"> pour cent</w:t>
      </w:r>
      <w:r w:rsidRPr="009F4EDC">
        <w:rPr>
          <w:rFonts w:eastAsia="Malgun Gothic"/>
          <w:color w:val="000000" w:themeColor="text1"/>
          <w:kern w:val="22"/>
          <w:szCs w:val="22"/>
          <w:lang w:val="fr-FR" w:eastAsia="x-none"/>
        </w:rPr>
        <w:t xml:space="preserve"> du budget total du programme, en supposant qu'une autre limitation, jusqu'à un maximum de 25</w:t>
      </w:r>
      <w:r w:rsidR="0001777E">
        <w:rPr>
          <w:rFonts w:eastAsia="Malgun Gothic"/>
          <w:color w:val="000000" w:themeColor="text1"/>
          <w:kern w:val="22"/>
          <w:szCs w:val="22"/>
          <w:lang w:val="fr-FR" w:eastAsia="x-none"/>
        </w:rPr>
        <w:t xml:space="preserve"> pour cent</w:t>
      </w:r>
      <w:r w:rsidRPr="009F4EDC">
        <w:rPr>
          <w:rFonts w:eastAsia="Malgun Gothic"/>
          <w:color w:val="000000" w:themeColor="text1"/>
          <w:kern w:val="22"/>
          <w:szCs w:val="22"/>
          <w:lang w:val="fr-FR" w:eastAsia="x-none"/>
        </w:rPr>
        <w:t xml:space="preserve"> de chacune de ces lignes de crédit, s'applique ;</w:t>
      </w:r>
      <w:r w:rsidRPr="009F4EDC">
        <w:rPr>
          <w:rFonts w:eastAsia="Malgun Gothic"/>
          <w:i/>
          <w:iCs/>
          <w:color w:val="000000" w:themeColor="text1"/>
          <w:kern w:val="22"/>
          <w:szCs w:val="22"/>
          <w:lang w:val="fr-FR" w:eastAsia="x-none"/>
        </w:rPr>
        <w:t xml:space="preserve"> </w:t>
      </w:r>
    </w:p>
    <w:p w14:paraId="448FF01C" w14:textId="77777777" w:rsidR="008E32B2" w:rsidRPr="008E32B2" w:rsidRDefault="008E32B2" w:rsidP="005B7371">
      <w:pPr>
        <w:pStyle w:val="ListParagraph"/>
        <w:numPr>
          <w:ilvl w:val="0"/>
          <w:numId w:val="1"/>
        </w:numPr>
        <w:spacing w:before="120" w:after="120"/>
        <w:ind w:left="0" w:firstLine="704"/>
        <w:contextualSpacing w:val="0"/>
        <w:rPr>
          <w:kern w:val="22"/>
          <w:szCs w:val="22"/>
          <w:lang w:val="fr-FR"/>
        </w:rPr>
      </w:pPr>
      <w:r w:rsidRPr="008E32B2">
        <w:rPr>
          <w:rFonts w:eastAsia="Malgun Gothic"/>
          <w:i/>
          <w:iCs/>
          <w:color w:val="000000" w:themeColor="text1"/>
          <w:kern w:val="22"/>
          <w:szCs w:val="22"/>
          <w:lang w:val="fr-FR" w:eastAsia="x-none"/>
        </w:rPr>
        <w:t xml:space="preserve">Invite </w:t>
      </w:r>
      <w:r w:rsidRPr="008E32B2">
        <w:rPr>
          <w:rFonts w:eastAsia="Malgun Gothic"/>
          <w:color w:val="000000" w:themeColor="text1"/>
          <w:kern w:val="22"/>
          <w:szCs w:val="22"/>
          <w:lang w:val="fr-FR" w:eastAsia="x-none"/>
        </w:rPr>
        <w:t>toutes les Parties à la Convention à noter que les contributions aux budgets des programmes de base (BY, BG et BB) sont dues au 1er janvier de l'année pour laquelle ces contributions ont été budgétisées et à les verser rapidement, et demande que les Parties soient informées du montant de leurs contributions le plus tôt possible au cours de l'année précédant celle où elles sont dues ;</w:t>
      </w:r>
    </w:p>
    <w:p w14:paraId="31E1E5B3" w14:textId="4B336082" w:rsidR="001E335E" w:rsidRPr="00014329" w:rsidRDefault="001E335E" w:rsidP="005B7371">
      <w:pPr>
        <w:pStyle w:val="ListParagraph"/>
        <w:numPr>
          <w:ilvl w:val="0"/>
          <w:numId w:val="1"/>
        </w:numPr>
        <w:spacing w:before="120" w:after="120"/>
        <w:ind w:left="0" w:firstLine="704"/>
        <w:contextualSpacing w:val="0"/>
        <w:rPr>
          <w:kern w:val="22"/>
          <w:szCs w:val="22"/>
          <w:lang w:val="fr-FR"/>
        </w:rPr>
      </w:pPr>
      <w:r w:rsidRPr="008E32B2">
        <w:rPr>
          <w:i/>
          <w:iCs/>
          <w:color w:val="000000" w:themeColor="text1"/>
          <w:kern w:val="22"/>
          <w:szCs w:val="22"/>
          <w:lang w:val="fr-FR" w:eastAsia="x-none"/>
        </w:rPr>
        <w:t>Note avec préoccupation</w:t>
      </w:r>
      <w:r w:rsidRPr="008E32B2">
        <w:rPr>
          <w:color w:val="000000" w:themeColor="text1"/>
          <w:kern w:val="22"/>
          <w:szCs w:val="22"/>
          <w:lang w:val="fr-FR" w:eastAsia="x-none"/>
        </w:rPr>
        <w:t xml:space="preserve"> qu'un certain nombre de Parties n'ont pas versé leurs contributions aux budgets de base (fonds d'affectation spéciale BY, BG et BB) pour 2020 et les années précédentes, y compris les Parties qui n'ont jamais versé leurs contributions ;</w:t>
      </w:r>
    </w:p>
    <w:p w14:paraId="72FCD0E9" w14:textId="10B53B1D" w:rsidR="001E335E" w:rsidRPr="00014329" w:rsidRDefault="001E335E" w:rsidP="005B7371">
      <w:pPr>
        <w:pStyle w:val="ListParagraph"/>
        <w:numPr>
          <w:ilvl w:val="0"/>
          <w:numId w:val="1"/>
        </w:numPr>
        <w:spacing w:before="120" w:after="120"/>
        <w:ind w:left="0" w:firstLine="704"/>
        <w:contextualSpacing w:val="0"/>
        <w:rPr>
          <w:kern w:val="22"/>
          <w:szCs w:val="22"/>
          <w:lang w:val="fr-FR"/>
        </w:rPr>
      </w:pPr>
      <w:r w:rsidRPr="00014329">
        <w:rPr>
          <w:i/>
          <w:iCs/>
          <w:color w:val="000000" w:themeColor="text1"/>
          <w:kern w:val="22"/>
          <w:szCs w:val="22"/>
          <w:lang w:val="fr-FR" w:eastAsia="x-none"/>
        </w:rPr>
        <w:t xml:space="preserve">Note </w:t>
      </w:r>
      <w:r w:rsidRPr="008E32B2">
        <w:rPr>
          <w:color w:val="000000" w:themeColor="text1"/>
          <w:kern w:val="22"/>
          <w:szCs w:val="22"/>
          <w:lang w:val="fr-FR" w:eastAsia="x-none"/>
        </w:rPr>
        <w:t xml:space="preserve">que les fonds d'affectation spéciale pour la Convention et ses </w:t>
      </w:r>
      <w:r w:rsidR="003A0FB4">
        <w:rPr>
          <w:color w:val="000000" w:themeColor="text1"/>
          <w:kern w:val="22"/>
          <w:szCs w:val="22"/>
          <w:lang w:val="fr-FR" w:eastAsia="x-none"/>
        </w:rPr>
        <w:t>P</w:t>
      </w:r>
      <w:r w:rsidRPr="008E32B2">
        <w:rPr>
          <w:color w:val="000000" w:themeColor="text1"/>
          <w:kern w:val="22"/>
          <w:szCs w:val="22"/>
          <w:lang w:val="fr-FR" w:eastAsia="x-none"/>
        </w:rPr>
        <w:t xml:space="preserve">rotocoles (BY, BG et BB) devraient être </w:t>
      </w:r>
      <w:r w:rsidR="003A0FB4">
        <w:rPr>
          <w:color w:val="000000" w:themeColor="text1"/>
          <w:kern w:val="22"/>
          <w:szCs w:val="22"/>
          <w:lang w:val="fr-FR" w:eastAsia="x-none"/>
        </w:rPr>
        <w:t xml:space="preserve">prorogés </w:t>
      </w:r>
      <w:r w:rsidRPr="008E32B2">
        <w:rPr>
          <w:color w:val="000000" w:themeColor="text1"/>
          <w:kern w:val="22"/>
          <w:szCs w:val="22"/>
          <w:lang w:val="fr-FR" w:eastAsia="x-none"/>
        </w:rPr>
        <w:t xml:space="preserve">pour une période de deux ans commençant le 1er janvier 2022 et se terminant le 31 décembre 2023, et prie le Directeur exécutif du Programme des Nations </w:t>
      </w:r>
      <w:r w:rsidR="003A0FB4">
        <w:rPr>
          <w:color w:val="000000" w:themeColor="text1"/>
          <w:kern w:val="22"/>
          <w:szCs w:val="22"/>
          <w:lang w:val="fr-FR" w:eastAsia="x-none"/>
        </w:rPr>
        <w:t>u</w:t>
      </w:r>
      <w:r w:rsidRPr="008E32B2">
        <w:rPr>
          <w:color w:val="000000" w:themeColor="text1"/>
          <w:kern w:val="22"/>
          <w:szCs w:val="22"/>
          <w:lang w:val="fr-FR" w:eastAsia="x-none"/>
        </w:rPr>
        <w:t xml:space="preserve">nies pour l'environnement de demander à l'Assemblée des Nations </w:t>
      </w:r>
      <w:r w:rsidR="003A0FB4">
        <w:rPr>
          <w:color w:val="000000" w:themeColor="text1"/>
          <w:kern w:val="22"/>
          <w:szCs w:val="22"/>
          <w:lang w:val="fr-FR" w:eastAsia="x-none"/>
        </w:rPr>
        <w:t>u</w:t>
      </w:r>
      <w:r w:rsidRPr="008E32B2">
        <w:rPr>
          <w:color w:val="000000" w:themeColor="text1"/>
          <w:kern w:val="22"/>
          <w:szCs w:val="22"/>
          <w:lang w:val="fr-FR" w:eastAsia="x-none"/>
        </w:rPr>
        <w:t>nies pour l'environnement d'approuver leur prorogation ;</w:t>
      </w:r>
      <w:r w:rsidRPr="00014329">
        <w:rPr>
          <w:i/>
          <w:iCs/>
          <w:color w:val="000000" w:themeColor="text1"/>
          <w:kern w:val="22"/>
          <w:szCs w:val="22"/>
          <w:lang w:val="fr-FR" w:eastAsia="x-none"/>
        </w:rPr>
        <w:t xml:space="preserve"> </w:t>
      </w:r>
    </w:p>
    <w:p w14:paraId="1231C45E" w14:textId="57D046A3" w:rsidR="001E335E" w:rsidRPr="00014329" w:rsidRDefault="001E335E" w:rsidP="005B7371">
      <w:pPr>
        <w:pStyle w:val="ListParagraph"/>
        <w:numPr>
          <w:ilvl w:val="0"/>
          <w:numId w:val="1"/>
        </w:numPr>
        <w:spacing w:before="120" w:after="120"/>
        <w:ind w:left="0" w:firstLine="704"/>
        <w:contextualSpacing w:val="0"/>
        <w:rPr>
          <w:kern w:val="22"/>
          <w:szCs w:val="22"/>
          <w:lang w:val="fr-FR"/>
        </w:rPr>
      </w:pPr>
      <w:r w:rsidRPr="00014329">
        <w:rPr>
          <w:i/>
          <w:iCs/>
          <w:color w:val="000000" w:themeColor="text1"/>
          <w:kern w:val="22"/>
          <w:szCs w:val="22"/>
          <w:lang w:val="fr-FR" w:eastAsia="x-none"/>
        </w:rPr>
        <w:t xml:space="preserve">Note </w:t>
      </w:r>
      <w:r w:rsidRPr="008E32B2">
        <w:rPr>
          <w:color w:val="000000" w:themeColor="text1"/>
          <w:kern w:val="22"/>
          <w:szCs w:val="22"/>
          <w:lang w:val="fr-FR" w:eastAsia="x-none"/>
        </w:rPr>
        <w:t xml:space="preserve">que les fonds d'affectation spéciale volontaires (BE, BZ, VB) pour la Convention et ses </w:t>
      </w:r>
      <w:r w:rsidR="003A0FB4">
        <w:rPr>
          <w:color w:val="000000" w:themeColor="text1"/>
          <w:kern w:val="22"/>
          <w:szCs w:val="22"/>
          <w:lang w:val="fr-FR" w:eastAsia="x-none"/>
        </w:rPr>
        <w:t>P</w:t>
      </w:r>
      <w:r w:rsidRPr="008E32B2">
        <w:rPr>
          <w:color w:val="000000" w:themeColor="text1"/>
          <w:kern w:val="22"/>
          <w:szCs w:val="22"/>
          <w:lang w:val="fr-FR" w:eastAsia="x-none"/>
        </w:rPr>
        <w:t xml:space="preserve">rotocoles devraient être prorogés pour une période de quatre ans commençant le 1er janvier 2022 et se terminant le 31 décembre 2025, et prie le Directeur exécutif du Programme des Nations </w:t>
      </w:r>
      <w:r w:rsidR="009649C0">
        <w:rPr>
          <w:color w:val="000000" w:themeColor="text1"/>
          <w:kern w:val="22"/>
          <w:szCs w:val="22"/>
          <w:lang w:val="fr-FR" w:eastAsia="x-none"/>
        </w:rPr>
        <w:t>u</w:t>
      </w:r>
      <w:r w:rsidRPr="008E32B2">
        <w:rPr>
          <w:color w:val="000000" w:themeColor="text1"/>
          <w:kern w:val="22"/>
          <w:szCs w:val="22"/>
          <w:lang w:val="fr-FR" w:eastAsia="x-none"/>
        </w:rPr>
        <w:t>nies pour</w:t>
      </w:r>
      <w:r w:rsidRPr="00014329">
        <w:rPr>
          <w:i/>
          <w:iCs/>
          <w:color w:val="000000" w:themeColor="text1"/>
          <w:kern w:val="22"/>
          <w:szCs w:val="22"/>
          <w:lang w:val="fr-FR" w:eastAsia="x-none"/>
        </w:rPr>
        <w:t xml:space="preserve"> </w:t>
      </w:r>
      <w:r w:rsidRPr="008E32B2">
        <w:rPr>
          <w:color w:val="000000" w:themeColor="text1"/>
          <w:kern w:val="22"/>
          <w:szCs w:val="22"/>
          <w:lang w:val="fr-FR" w:eastAsia="x-none"/>
        </w:rPr>
        <w:t xml:space="preserve">l'environnement de demander à l'Assemblée des Nations </w:t>
      </w:r>
      <w:r w:rsidR="009649C0">
        <w:rPr>
          <w:color w:val="000000" w:themeColor="text1"/>
          <w:kern w:val="22"/>
          <w:szCs w:val="22"/>
          <w:lang w:val="fr-FR" w:eastAsia="x-none"/>
        </w:rPr>
        <w:t>u</w:t>
      </w:r>
      <w:r w:rsidRPr="008E32B2">
        <w:rPr>
          <w:color w:val="000000" w:themeColor="text1"/>
          <w:kern w:val="22"/>
          <w:szCs w:val="22"/>
          <w:lang w:val="fr-FR" w:eastAsia="x-none"/>
        </w:rPr>
        <w:t>nies pour l'environnement d'approuver leur prorogation ;</w:t>
      </w:r>
    </w:p>
    <w:p w14:paraId="202AEA5E" w14:textId="77777777" w:rsidR="001E335E" w:rsidRPr="008E32B2" w:rsidRDefault="001E335E" w:rsidP="005B7371">
      <w:pPr>
        <w:pStyle w:val="ListParagraph"/>
        <w:numPr>
          <w:ilvl w:val="0"/>
          <w:numId w:val="1"/>
        </w:numPr>
        <w:spacing w:before="120" w:after="120"/>
        <w:ind w:left="0" w:firstLine="704"/>
        <w:contextualSpacing w:val="0"/>
        <w:rPr>
          <w:kern w:val="22"/>
          <w:szCs w:val="22"/>
          <w:lang w:val="fr-FR"/>
        </w:rPr>
      </w:pPr>
      <w:r w:rsidRPr="00815FCB">
        <w:rPr>
          <w:i/>
          <w:iCs/>
          <w:color w:val="000000" w:themeColor="text1"/>
          <w:kern w:val="22"/>
          <w:szCs w:val="22"/>
          <w:lang w:val="fr-FR" w:eastAsia="x-none"/>
        </w:rPr>
        <w:t>Affirme</w:t>
      </w:r>
      <w:r w:rsidRPr="008E32B2">
        <w:rPr>
          <w:color w:val="000000" w:themeColor="text1"/>
          <w:kern w:val="22"/>
          <w:szCs w:val="22"/>
          <w:lang w:val="fr-FR" w:eastAsia="x-none"/>
        </w:rPr>
        <w:t xml:space="preserve"> que la présente décision est sans préjudice des décisions ultérieures que la Conférence des Parties prendra à sa quinzième réunion ;</w:t>
      </w:r>
    </w:p>
    <w:p w14:paraId="2070D9D1" w14:textId="46BFBD6D" w:rsidR="008E32B2" w:rsidRPr="009649C0" w:rsidRDefault="001E335E" w:rsidP="005B7371">
      <w:pPr>
        <w:pStyle w:val="ListParagraph"/>
        <w:numPr>
          <w:ilvl w:val="0"/>
          <w:numId w:val="1"/>
        </w:numPr>
        <w:spacing w:before="120" w:after="120"/>
        <w:ind w:left="0" w:firstLine="704"/>
        <w:contextualSpacing w:val="0"/>
        <w:rPr>
          <w:kern w:val="22"/>
          <w:szCs w:val="22"/>
          <w:lang w:val="fr-FR"/>
        </w:rPr>
      </w:pPr>
      <w:r w:rsidRPr="00815FCB">
        <w:rPr>
          <w:i/>
          <w:iCs/>
          <w:color w:val="000000" w:themeColor="text1"/>
          <w:kern w:val="22"/>
          <w:szCs w:val="22"/>
          <w:lang w:val="fr-FR" w:eastAsia="x-none"/>
        </w:rPr>
        <w:t>Prie</w:t>
      </w:r>
      <w:r w:rsidRPr="009649C0">
        <w:rPr>
          <w:color w:val="000000" w:themeColor="text1"/>
          <w:kern w:val="22"/>
          <w:szCs w:val="22"/>
          <w:lang w:val="fr-FR" w:eastAsia="x-none"/>
        </w:rPr>
        <w:t xml:space="preserve"> </w:t>
      </w:r>
      <w:r w:rsidR="007B2B92" w:rsidRPr="009649C0">
        <w:rPr>
          <w:color w:val="000000" w:themeColor="text1"/>
          <w:kern w:val="22"/>
          <w:szCs w:val="22"/>
          <w:lang w:val="fr-FR" w:eastAsia="x-none"/>
        </w:rPr>
        <w:t>la</w:t>
      </w:r>
      <w:r w:rsidRPr="009649C0">
        <w:rPr>
          <w:color w:val="000000" w:themeColor="text1"/>
          <w:kern w:val="22"/>
          <w:szCs w:val="22"/>
          <w:lang w:val="fr-FR" w:eastAsia="x-none"/>
        </w:rPr>
        <w:t xml:space="preserve"> Secrétaire exécuti</w:t>
      </w:r>
      <w:r w:rsidR="007B2B92" w:rsidRPr="009649C0">
        <w:rPr>
          <w:color w:val="000000" w:themeColor="text1"/>
          <w:kern w:val="22"/>
          <w:szCs w:val="22"/>
          <w:lang w:val="fr-FR" w:eastAsia="x-none"/>
        </w:rPr>
        <w:t>ve</w:t>
      </w:r>
      <w:r w:rsidR="007E6E94">
        <w:rPr>
          <w:color w:val="000000" w:themeColor="text1"/>
          <w:kern w:val="22"/>
          <w:szCs w:val="22"/>
          <w:lang w:val="fr-FR" w:eastAsia="x-none"/>
        </w:rPr>
        <w:t> :</w:t>
      </w:r>
    </w:p>
    <w:p w14:paraId="3478F7C6" w14:textId="6351193E" w:rsidR="008E32B2" w:rsidRPr="008E32B2" w:rsidRDefault="008E32B2" w:rsidP="008E32B2">
      <w:pPr>
        <w:spacing w:before="120" w:after="120"/>
        <w:ind w:firstLine="704"/>
        <w:rPr>
          <w:kern w:val="22"/>
          <w:szCs w:val="22"/>
          <w:lang w:val="fr-FR"/>
        </w:rPr>
      </w:pPr>
      <w:r w:rsidRPr="008E32B2">
        <w:rPr>
          <w:color w:val="000000" w:themeColor="text1"/>
          <w:kern w:val="22"/>
          <w:szCs w:val="22"/>
          <w:lang w:val="fr-FR" w:eastAsia="x-none"/>
        </w:rPr>
        <w:t>(a)</w:t>
      </w:r>
      <w:r w:rsidRPr="008E32B2">
        <w:rPr>
          <w:i/>
          <w:iCs/>
          <w:color w:val="000000" w:themeColor="text1"/>
          <w:kern w:val="22"/>
          <w:szCs w:val="22"/>
          <w:lang w:val="fr-FR" w:eastAsia="x-none"/>
        </w:rPr>
        <w:t xml:space="preserve"> </w:t>
      </w:r>
      <w:r w:rsidRPr="008E32B2">
        <w:rPr>
          <w:kern w:val="22"/>
          <w:szCs w:val="22"/>
          <w:lang w:val="fr-FR"/>
        </w:rPr>
        <w:t xml:space="preserve">Tenir compte des résultats de cette décision lors de l'élaboration des propositions budgétaires pour l'exercice </w:t>
      </w:r>
      <w:r w:rsidR="009649C0">
        <w:rPr>
          <w:kern w:val="22"/>
          <w:szCs w:val="22"/>
          <w:lang w:val="fr-FR"/>
        </w:rPr>
        <w:t xml:space="preserve">biennal </w:t>
      </w:r>
      <w:r w:rsidRPr="008E32B2">
        <w:rPr>
          <w:kern w:val="22"/>
          <w:szCs w:val="22"/>
          <w:lang w:val="fr-FR"/>
        </w:rPr>
        <w:t>2021-2022, conformément à la décision 14/37, paragraphes 48 ;</w:t>
      </w:r>
    </w:p>
    <w:p w14:paraId="385151A5" w14:textId="586DD305" w:rsidR="00640C7F" w:rsidRPr="00014329" w:rsidRDefault="008E32B2" w:rsidP="00F02283">
      <w:pPr>
        <w:spacing w:before="120" w:after="120"/>
        <w:ind w:firstLine="704"/>
        <w:rPr>
          <w:kern w:val="22"/>
          <w:szCs w:val="22"/>
          <w:lang w:val="fr-FR"/>
        </w:rPr>
      </w:pPr>
      <w:r w:rsidRPr="008E32B2">
        <w:rPr>
          <w:color w:val="000000" w:themeColor="text1"/>
          <w:kern w:val="22"/>
          <w:szCs w:val="22"/>
          <w:lang w:val="fr-FR" w:eastAsia="x-none"/>
        </w:rPr>
        <w:t xml:space="preserve">(b) </w:t>
      </w:r>
      <w:r w:rsidR="001E335E" w:rsidRPr="008E32B2">
        <w:rPr>
          <w:kern w:val="22"/>
          <w:szCs w:val="22"/>
          <w:lang w:val="fr-FR"/>
        </w:rPr>
        <w:t>Préparer également des propositions budgétaires pour la période 2023-2024, en attendant une décision de la Conférence des Parties et des réunions des Parties</w:t>
      </w:r>
      <w:r w:rsidR="00D8358C">
        <w:rPr>
          <w:kern w:val="22"/>
          <w:szCs w:val="22"/>
          <w:lang w:val="fr-FR"/>
        </w:rPr>
        <w:t xml:space="preserve"> aux Protocoles de Cartagena et de Nagoya</w:t>
      </w:r>
      <w:r w:rsidR="001E335E" w:rsidRPr="008E32B2">
        <w:rPr>
          <w:kern w:val="22"/>
          <w:szCs w:val="22"/>
          <w:lang w:val="fr-FR"/>
        </w:rPr>
        <w:t xml:space="preserve"> concernant les dates de ses seizième</w:t>
      </w:r>
      <w:r w:rsidR="0060534E">
        <w:rPr>
          <w:kern w:val="22"/>
          <w:szCs w:val="22"/>
          <w:lang w:val="fr-FR"/>
        </w:rPr>
        <w:t>s</w:t>
      </w:r>
      <w:r w:rsidR="001E335E" w:rsidRPr="008E32B2">
        <w:rPr>
          <w:kern w:val="22"/>
          <w:szCs w:val="22"/>
          <w:lang w:val="fr-FR"/>
        </w:rPr>
        <w:t xml:space="preserve">, </w:t>
      </w:r>
      <w:r w:rsidR="0060534E" w:rsidRPr="008E32B2">
        <w:rPr>
          <w:kern w:val="22"/>
          <w:szCs w:val="22"/>
          <w:lang w:val="fr-FR"/>
        </w:rPr>
        <w:t>onzièmes et cinquièmes réunions</w:t>
      </w:r>
      <w:r w:rsidR="001E335E" w:rsidRPr="008E32B2">
        <w:rPr>
          <w:kern w:val="22"/>
          <w:szCs w:val="22"/>
          <w:lang w:val="fr-FR"/>
        </w:rPr>
        <w:t xml:space="preserve"> respectivement.</w:t>
      </w:r>
    </w:p>
    <w:p w14:paraId="7D7C01E8" w14:textId="35839825" w:rsidR="00ED54E7" w:rsidRDefault="00892862" w:rsidP="00226DFF">
      <w:pPr>
        <w:ind w:left="1080" w:hanging="540"/>
        <w:rPr>
          <w:b/>
          <w:iCs/>
          <w:kern w:val="22"/>
          <w:szCs w:val="22"/>
          <w:lang w:val="fr-FR"/>
        </w:rPr>
      </w:pPr>
      <w:r w:rsidRPr="00014329">
        <w:rPr>
          <w:b/>
          <w:iCs/>
          <w:kern w:val="22"/>
          <w:szCs w:val="22"/>
          <w:lang w:val="fr-FR"/>
        </w:rPr>
        <w:t xml:space="preserve">V. </w:t>
      </w:r>
      <w:r w:rsidRPr="00014329">
        <w:rPr>
          <w:b/>
          <w:iCs/>
          <w:kern w:val="22"/>
          <w:szCs w:val="22"/>
          <w:lang w:val="fr-FR"/>
        </w:rPr>
        <w:tab/>
      </w:r>
      <w:r w:rsidR="00AB6EF4">
        <w:rPr>
          <w:b/>
          <w:iCs/>
          <w:kern w:val="22"/>
          <w:szCs w:val="22"/>
          <w:lang w:val="fr-FR"/>
        </w:rPr>
        <w:t xml:space="preserve">PROJET DE DÉCISION À SOUMETTRE À LA CONFÉRENCE DES PARTIES EN TANT QUE RÉUNION DES PARTIES AU PROTOCOLE DE CARTAGENA SUR LA PRÉVENTION DES RISQUES BIOTECHNOLOGIQUES </w:t>
      </w:r>
    </w:p>
    <w:p w14:paraId="7DE298D8" w14:textId="77777777" w:rsidR="00084E4F" w:rsidRPr="00014329" w:rsidRDefault="00084E4F" w:rsidP="00892862">
      <w:pPr>
        <w:ind w:left="1440"/>
        <w:rPr>
          <w:b/>
          <w:iCs/>
          <w:kern w:val="22"/>
          <w:szCs w:val="22"/>
          <w:lang w:val="fr-FR"/>
        </w:rPr>
      </w:pPr>
    </w:p>
    <w:p w14:paraId="192CAF11" w14:textId="1232FF32" w:rsidR="001467DF" w:rsidRPr="00DF1F10" w:rsidRDefault="00DF1F10" w:rsidP="00DF1F10">
      <w:pPr>
        <w:rPr>
          <w:bCs/>
          <w:iCs/>
          <w:kern w:val="22"/>
          <w:lang w:val="fr-FR"/>
        </w:rPr>
      </w:pPr>
      <w:r>
        <w:rPr>
          <w:bCs/>
          <w:iCs/>
          <w:kern w:val="22"/>
          <w:lang w:val="fr-FR"/>
        </w:rPr>
        <w:t xml:space="preserve">25. </w:t>
      </w:r>
      <w:r>
        <w:rPr>
          <w:bCs/>
          <w:iCs/>
          <w:kern w:val="22"/>
          <w:lang w:val="fr-FR"/>
        </w:rPr>
        <w:tab/>
      </w:r>
      <w:r w:rsidR="00DB371F" w:rsidRPr="006E5F17">
        <w:rPr>
          <w:snapToGrid w:val="0"/>
          <w:kern w:val="22"/>
          <w:lang w:val="fr-FR"/>
        </w:rPr>
        <w:t>La Conférence des Parties siégeant en tant que réunion des Parties au Protocole de Cartagena sur la</w:t>
      </w:r>
      <w:r w:rsidR="006E5F17">
        <w:rPr>
          <w:snapToGrid w:val="0"/>
          <w:kern w:val="22"/>
          <w:lang w:val="fr-FR"/>
        </w:rPr>
        <w:t xml:space="preserve"> </w:t>
      </w:r>
      <w:r w:rsidR="00DB371F" w:rsidRPr="006E5F17">
        <w:rPr>
          <w:snapToGrid w:val="0"/>
          <w:kern w:val="22"/>
          <w:lang w:val="fr-FR"/>
        </w:rPr>
        <w:t>prévention des risques biotechnologiques souhaitera peut-être adopter une décision selon les lignes suivantes</w:t>
      </w:r>
      <w:r>
        <w:rPr>
          <w:snapToGrid w:val="0"/>
          <w:kern w:val="22"/>
          <w:lang w:val="fr-FR"/>
        </w:rPr>
        <w:t xml:space="preserve"> : </w:t>
      </w:r>
    </w:p>
    <w:p w14:paraId="701A1770" w14:textId="20597CE9" w:rsidR="006E5F17" w:rsidRPr="006E5F17" w:rsidRDefault="00DF1F10" w:rsidP="00DF1F10">
      <w:pPr>
        <w:pStyle w:val="Style1"/>
        <w:jc w:val="both"/>
        <w:rPr>
          <w:b w:val="0"/>
          <w:bCs w:val="0"/>
          <w:snapToGrid w:val="0"/>
          <w:kern w:val="22"/>
          <w:lang w:val="fr-FR"/>
        </w:rPr>
      </w:pPr>
      <w:r>
        <w:rPr>
          <w:b w:val="0"/>
          <w:bCs w:val="0"/>
          <w:snapToGrid w:val="0"/>
          <w:kern w:val="22"/>
          <w:lang w:val="fr-FR"/>
        </w:rPr>
        <w:tab/>
      </w:r>
      <w:r w:rsidR="006E5F17" w:rsidRPr="006E5F17">
        <w:rPr>
          <w:b w:val="0"/>
          <w:bCs w:val="0"/>
          <w:snapToGrid w:val="0"/>
          <w:kern w:val="22"/>
          <w:lang w:val="fr-FR"/>
        </w:rPr>
        <w:t>La Conférence des Parties siégeant en tant que réunion des Parties au Protocole de Cartagena</w:t>
      </w:r>
      <w:r>
        <w:rPr>
          <w:b w:val="0"/>
          <w:bCs w:val="0"/>
          <w:snapToGrid w:val="0"/>
          <w:kern w:val="22"/>
          <w:lang w:val="fr-FR"/>
        </w:rPr>
        <w:t>,</w:t>
      </w:r>
    </w:p>
    <w:p w14:paraId="5B5EF6B5" w14:textId="29BE2818" w:rsidR="00C846EE" w:rsidRPr="00014329" w:rsidRDefault="00C846EE" w:rsidP="004A1350">
      <w:pPr>
        <w:spacing w:before="120" w:after="120"/>
        <w:ind w:firstLine="720"/>
        <w:rPr>
          <w:i/>
          <w:iCs/>
          <w:kern w:val="22"/>
          <w:szCs w:val="22"/>
          <w:lang w:val="fr-FR"/>
        </w:rPr>
      </w:pPr>
      <w:r w:rsidRPr="00014329">
        <w:rPr>
          <w:i/>
          <w:iCs/>
          <w:kern w:val="22"/>
          <w:szCs w:val="22"/>
          <w:lang w:val="fr-FR"/>
        </w:rPr>
        <w:t xml:space="preserve">Rappelant </w:t>
      </w:r>
      <w:r w:rsidRPr="004A1350">
        <w:rPr>
          <w:kern w:val="22"/>
          <w:szCs w:val="22"/>
          <w:lang w:val="fr-FR"/>
        </w:rPr>
        <w:t xml:space="preserve">sa décision 9/16 </w:t>
      </w:r>
      <w:r w:rsidR="004501D0">
        <w:rPr>
          <w:kern w:val="22"/>
          <w:szCs w:val="22"/>
          <w:lang w:val="fr-FR"/>
        </w:rPr>
        <w:t>dans laquelle elle approuvait le budget</w:t>
      </w:r>
      <w:r w:rsidRPr="004A1350">
        <w:rPr>
          <w:kern w:val="22"/>
          <w:szCs w:val="22"/>
          <w:lang w:val="fr-FR"/>
        </w:rPr>
        <w:t xml:space="preserve"> pour l'exercice biennal 2019-2020, </w:t>
      </w:r>
    </w:p>
    <w:p w14:paraId="652B74F6" w14:textId="77777777" w:rsidR="00C846EE" w:rsidRPr="00014329" w:rsidRDefault="00C846EE" w:rsidP="004A1350">
      <w:pPr>
        <w:spacing w:before="120" w:after="120"/>
        <w:ind w:firstLine="720"/>
        <w:rPr>
          <w:i/>
          <w:iCs/>
          <w:kern w:val="22"/>
          <w:szCs w:val="22"/>
          <w:lang w:val="fr-FR"/>
        </w:rPr>
      </w:pPr>
      <w:r w:rsidRPr="00014329">
        <w:rPr>
          <w:i/>
          <w:iCs/>
          <w:kern w:val="22"/>
          <w:szCs w:val="22"/>
          <w:lang w:val="fr-FR"/>
        </w:rPr>
        <w:t>Considérant</w:t>
      </w:r>
      <w:r w:rsidRPr="004A1350">
        <w:rPr>
          <w:kern w:val="22"/>
          <w:szCs w:val="22"/>
          <w:lang w:val="fr-FR"/>
        </w:rPr>
        <w:t xml:space="preserve"> que la dixième réunion de la Conférence des Parties siégeant en tant que réunion des Parties au Protocole de Cartagena a été reportée à 2021 en raison de contraintes liées à la pandémie de COVID-19,</w:t>
      </w:r>
      <w:r w:rsidRPr="00014329">
        <w:rPr>
          <w:i/>
          <w:iCs/>
          <w:kern w:val="22"/>
          <w:szCs w:val="22"/>
          <w:lang w:val="fr-FR"/>
        </w:rPr>
        <w:t xml:space="preserve">  </w:t>
      </w:r>
    </w:p>
    <w:p w14:paraId="4F330132" w14:textId="6C37925C" w:rsidR="00C846EE" w:rsidRPr="00014329" w:rsidRDefault="00C846EE" w:rsidP="004A1350">
      <w:pPr>
        <w:spacing w:before="120" w:after="120"/>
        <w:ind w:firstLine="720"/>
        <w:rPr>
          <w:i/>
          <w:iCs/>
          <w:kern w:val="22"/>
          <w:szCs w:val="22"/>
          <w:lang w:val="fr-FR"/>
        </w:rPr>
      </w:pPr>
      <w:r w:rsidRPr="00014329">
        <w:rPr>
          <w:i/>
          <w:iCs/>
          <w:kern w:val="22"/>
          <w:szCs w:val="22"/>
          <w:lang w:val="fr-FR"/>
        </w:rPr>
        <w:t>Notan</w:t>
      </w:r>
      <w:r w:rsidR="004A1350">
        <w:rPr>
          <w:i/>
          <w:iCs/>
          <w:kern w:val="22"/>
          <w:szCs w:val="22"/>
          <w:lang w:val="fr-FR"/>
        </w:rPr>
        <w:t>t</w:t>
      </w:r>
      <w:r w:rsidR="004A1350">
        <w:rPr>
          <w:kern w:val="22"/>
          <w:szCs w:val="22"/>
          <w:lang w:val="fr-FR"/>
        </w:rPr>
        <w:t>,</w:t>
      </w:r>
      <w:r w:rsidRPr="00014329">
        <w:rPr>
          <w:i/>
          <w:iCs/>
          <w:kern w:val="22"/>
          <w:szCs w:val="22"/>
          <w:lang w:val="fr-FR"/>
        </w:rPr>
        <w:t xml:space="preserve"> </w:t>
      </w:r>
      <w:r w:rsidRPr="004A1350">
        <w:rPr>
          <w:kern w:val="22"/>
          <w:szCs w:val="22"/>
          <w:lang w:val="fr-FR"/>
        </w:rPr>
        <w:t xml:space="preserve">par conséquent, la nécessité de prendre des dispositions pour permettre le fonctionnement continu des organes </w:t>
      </w:r>
      <w:r w:rsidR="004501D0">
        <w:rPr>
          <w:kern w:val="22"/>
          <w:szCs w:val="22"/>
          <w:lang w:val="fr-FR"/>
        </w:rPr>
        <w:t>du Protocole</w:t>
      </w:r>
      <w:r w:rsidRPr="004A1350">
        <w:rPr>
          <w:kern w:val="22"/>
          <w:szCs w:val="22"/>
          <w:lang w:val="fr-FR"/>
        </w:rPr>
        <w:t xml:space="preserve">, y compris son </w:t>
      </w:r>
      <w:r w:rsidR="004501D0">
        <w:rPr>
          <w:kern w:val="22"/>
          <w:szCs w:val="22"/>
          <w:lang w:val="fr-FR"/>
        </w:rPr>
        <w:t>S</w:t>
      </w:r>
      <w:r w:rsidRPr="004A1350">
        <w:rPr>
          <w:kern w:val="22"/>
          <w:szCs w:val="22"/>
          <w:lang w:val="fr-FR"/>
        </w:rPr>
        <w:t xml:space="preserve">ecrétariat et les réunions </w:t>
      </w:r>
      <w:r w:rsidR="003F7A1D">
        <w:rPr>
          <w:kern w:val="22"/>
          <w:szCs w:val="22"/>
          <w:lang w:val="fr-FR"/>
        </w:rPr>
        <w:t>P</w:t>
      </w:r>
      <w:r w:rsidRPr="004A1350">
        <w:rPr>
          <w:kern w:val="22"/>
          <w:szCs w:val="22"/>
          <w:lang w:val="fr-FR"/>
        </w:rPr>
        <w:t>arties et de ses organes subsidiaires,</w:t>
      </w:r>
    </w:p>
    <w:p w14:paraId="64D20CC3" w14:textId="2AF6B714" w:rsidR="0091249B" w:rsidRDefault="00C846EE" w:rsidP="0091249B">
      <w:pPr>
        <w:spacing w:before="120" w:after="120"/>
        <w:ind w:firstLine="720"/>
        <w:rPr>
          <w:kern w:val="22"/>
          <w:szCs w:val="22"/>
          <w:lang w:val="fr-FR"/>
        </w:rPr>
      </w:pPr>
      <w:r w:rsidRPr="00014329">
        <w:rPr>
          <w:i/>
          <w:iCs/>
          <w:kern w:val="22"/>
          <w:szCs w:val="22"/>
          <w:lang w:val="fr-FR"/>
        </w:rPr>
        <w:lastRenderedPageBreak/>
        <w:t xml:space="preserve">Prenant note </w:t>
      </w:r>
      <w:r w:rsidRPr="004A1350">
        <w:rPr>
          <w:kern w:val="22"/>
          <w:szCs w:val="22"/>
          <w:lang w:val="fr-FR"/>
        </w:rPr>
        <w:t>de la proposition du Bureau de la Conférence des Parties tendant à ce que, à titre exceptionnel, les Parties examinent et approuvent un budget intérimaire pour 2021 selon des modalités convenues</w:t>
      </w:r>
    </w:p>
    <w:p w14:paraId="55DA4438" w14:textId="3ECCBF77" w:rsidR="004501D0" w:rsidRPr="00CF64C0" w:rsidRDefault="004501D0" w:rsidP="0091249B">
      <w:pPr>
        <w:spacing w:before="120" w:after="120"/>
        <w:ind w:firstLine="720"/>
        <w:rPr>
          <w:kern w:val="22"/>
          <w:szCs w:val="22"/>
          <w:lang w:val="fr-FR"/>
        </w:rPr>
      </w:pPr>
      <w:r w:rsidRPr="00CF64C0">
        <w:rPr>
          <w:i/>
          <w:iCs/>
          <w:kern w:val="22"/>
          <w:szCs w:val="22"/>
          <w:lang w:val="fr-FR"/>
        </w:rPr>
        <w:t xml:space="preserve">Prenant note également </w:t>
      </w:r>
      <w:r w:rsidRPr="00CF64C0">
        <w:rPr>
          <w:kern w:val="22"/>
          <w:szCs w:val="22"/>
          <w:lang w:val="fr-FR"/>
        </w:rPr>
        <w:t>de la note de la Secrétaire exécutive</w:t>
      </w:r>
      <w:r w:rsidR="00DC7648">
        <w:rPr>
          <w:rStyle w:val="FootnoteReference"/>
          <w:kern w:val="22"/>
        </w:rPr>
        <w:footnoteReference w:customMarkFollows="1" w:id="8"/>
        <w:t>5</w:t>
      </w:r>
    </w:p>
    <w:p w14:paraId="1480057F" w14:textId="0C5C054A" w:rsidR="0091249B" w:rsidRDefault="0091249B" w:rsidP="0091249B">
      <w:pPr>
        <w:spacing w:before="120" w:after="120"/>
        <w:ind w:firstLine="720"/>
        <w:rPr>
          <w:kern w:val="22"/>
          <w:szCs w:val="22"/>
          <w:lang w:val="fr-FR"/>
        </w:rPr>
      </w:pPr>
      <w:r>
        <w:rPr>
          <w:kern w:val="22"/>
          <w:szCs w:val="22"/>
          <w:lang w:val="fr-FR"/>
        </w:rPr>
        <w:t xml:space="preserve">1. </w:t>
      </w:r>
      <w:r w:rsidR="00C72C12">
        <w:rPr>
          <w:kern w:val="22"/>
          <w:szCs w:val="22"/>
          <w:lang w:val="fr-FR"/>
        </w:rPr>
        <w:tab/>
      </w:r>
      <w:r w:rsidR="007C5C1F" w:rsidRPr="0091249B">
        <w:rPr>
          <w:i/>
          <w:iCs/>
          <w:kern w:val="22"/>
          <w:szCs w:val="22"/>
          <w:lang w:val="fr-FR"/>
        </w:rPr>
        <w:t>Décide</w:t>
      </w:r>
      <w:r w:rsidR="007C5C1F" w:rsidRPr="0091249B">
        <w:rPr>
          <w:kern w:val="22"/>
          <w:szCs w:val="22"/>
          <w:lang w:val="fr-FR"/>
        </w:rPr>
        <w:t xml:space="preserve"> de prolonger, jusqu'au 31 décembre 2021, ou dans le cas où la </w:t>
      </w:r>
      <w:r w:rsidR="004E18BF">
        <w:rPr>
          <w:kern w:val="22"/>
          <w:szCs w:val="22"/>
          <w:lang w:val="fr-FR"/>
        </w:rPr>
        <w:t>dixième réunion de la Conférence des Parties siégeant en tant que réunion des Parties au Protocole de Cartagena</w:t>
      </w:r>
      <w:r w:rsidR="007C5C1F" w:rsidRPr="0091249B">
        <w:rPr>
          <w:kern w:val="22"/>
          <w:szCs w:val="22"/>
          <w:lang w:val="fr-FR"/>
        </w:rPr>
        <w:t xml:space="preserve"> ne se tiendrait pas en 2021, jusqu'à la fin du mois suivant la clôture de la </w:t>
      </w:r>
      <w:r w:rsidR="004E18BF">
        <w:rPr>
          <w:kern w:val="22"/>
          <w:szCs w:val="22"/>
          <w:lang w:val="fr-FR"/>
        </w:rPr>
        <w:t>dixième réunion de la Conférence des Parties siégeant en tant que réunion des Parties au Protocole de Cartagena</w:t>
      </w:r>
      <w:r w:rsidR="007C5C1F" w:rsidRPr="0091249B">
        <w:rPr>
          <w:kern w:val="22"/>
          <w:szCs w:val="22"/>
          <w:lang w:val="fr-FR"/>
        </w:rPr>
        <w:t>, la validité des fonds alloués dans le budget 2019-2020 associé aux coûts des réunions de la C</w:t>
      </w:r>
      <w:r w:rsidR="004E18BF">
        <w:rPr>
          <w:kern w:val="22"/>
          <w:szCs w:val="22"/>
          <w:lang w:val="fr-FR"/>
        </w:rPr>
        <w:t xml:space="preserve">onférence des Parties siégeant en tant que réunions des parties au Protocole de Cartagena </w:t>
      </w:r>
      <w:r w:rsidR="007C5C1F" w:rsidRPr="0091249B">
        <w:rPr>
          <w:kern w:val="22"/>
          <w:szCs w:val="22"/>
          <w:lang w:val="fr-FR"/>
        </w:rPr>
        <w:t xml:space="preserve"> et de ses organes subsidiaires qui sont reportées de l'exercice biennal 2019-2020 ;</w:t>
      </w:r>
    </w:p>
    <w:p w14:paraId="5A72E3CC" w14:textId="2EC01786" w:rsidR="00512FD2" w:rsidRDefault="0091249B" w:rsidP="00512FD2">
      <w:pPr>
        <w:spacing w:before="120" w:after="120"/>
        <w:ind w:firstLine="720"/>
        <w:rPr>
          <w:rFonts w:eastAsia="Malgun Gothic"/>
          <w:iCs/>
          <w:color w:val="000000" w:themeColor="text1"/>
          <w:kern w:val="22"/>
          <w:szCs w:val="22"/>
          <w:lang w:val="fr-FR" w:eastAsia="x-none"/>
        </w:rPr>
      </w:pPr>
      <w:r>
        <w:rPr>
          <w:kern w:val="22"/>
          <w:szCs w:val="22"/>
          <w:lang w:val="fr-FR"/>
        </w:rPr>
        <w:t xml:space="preserve">2. </w:t>
      </w:r>
      <w:r w:rsidR="00C72C12">
        <w:rPr>
          <w:kern w:val="22"/>
          <w:szCs w:val="22"/>
          <w:lang w:val="fr-FR"/>
        </w:rPr>
        <w:tab/>
      </w:r>
      <w:r w:rsidR="007C5C1F" w:rsidRPr="0091249B">
        <w:rPr>
          <w:rFonts w:eastAsia="Malgun Gothic"/>
          <w:i/>
          <w:color w:val="000000" w:themeColor="text1"/>
          <w:kern w:val="22"/>
          <w:szCs w:val="22"/>
          <w:lang w:val="fr-FR" w:eastAsia="x-none"/>
        </w:rPr>
        <w:t>Approuve,</w:t>
      </w:r>
      <w:r w:rsidR="007C5C1F" w:rsidRPr="0091249B">
        <w:rPr>
          <w:rFonts w:eastAsia="Malgun Gothic"/>
          <w:iCs/>
          <w:color w:val="000000" w:themeColor="text1"/>
          <w:kern w:val="22"/>
          <w:szCs w:val="22"/>
          <w:lang w:val="fr-FR" w:eastAsia="x-none"/>
        </w:rPr>
        <w:t xml:space="preserve"> à titre exceptionnel, un budget-programme de base intérimaire pour le Protocole de Cartagena sur la prévention des risques biotechnologiques de 2 541 570 dollars </w:t>
      </w:r>
      <w:r w:rsidR="001B286E">
        <w:rPr>
          <w:rFonts w:eastAsia="Malgun Gothic"/>
          <w:iCs/>
          <w:color w:val="000000" w:themeColor="text1"/>
          <w:kern w:val="22"/>
          <w:szCs w:val="22"/>
          <w:lang w:val="fr-FR" w:eastAsia="x-none"/>
        </w:rPr>
        <w:t>É.U</w:t>
      </w:r>
      <w:r w:rsidR="007C5C1F" w:rsidRPr="0091249B">
        <w:rPr>
          <w:rFonts w:eastAsia="Malgun Gothic"/>
          <w:iCs/>
          <w:color w:val="000000" w:themeColor="text1"/>
          <w:kern w:val="22"/>
          <w:szCs w:val="22"/>
          <w:lang w:val="fr-FR" w:eastAsia="x-none"/>
        </w:rPr>
        <w:t xml:space="preserve"> pour l'année 2021, représentant 15 </w:t>
      </w:r>
      <w:r w:rsidR="0072389D">
        <w:rPr>
          <w:rFonts w:eastAsia="Malgun Gothic"/>
          <w:iCs/>
          <w:color w:val="000000" w:themeColor="text1"/>
          <w:kern w:val="22"/>
          <w:szCs w:val="22"/>
          <w:lang w:val="fr-FR" w:eastAsia="x-none"/>
        </w:rPr>
        <w:t xml:space="preserve">pour cent </w:t>
      </w:r>
      <w:r w:rsidR="007C5C1F" w:rsidRPr="0091249B">
        <w:rPr>
          <w:rFonts w:eastAsia="Malgun Gothic"/>
          <w:iCs/>
          <w:color w:val="000000" w:themeColor="text1"/>
          <w:kern w:val="22"/>
          <w:szCs w:val="22"/>
          <w:lang w:val="fr-FR" w:eastAsia="x-none"/>
        </w:rPr>
        <w:t xml:space="preserve">du budget intérimaire intégré de 16 943 800 dollars des </w:t>
      </w:r>
      <w:r w:rsidR="001B286E">
        <w:rPr>
          <w:rFonts w:eastAsia="Malgun Gothic"/>
          <w:iCs/>
          <w:color w:val="000000" w:themeColor="text1"/>
          <w:kern w:val="22"/>
          <w:szCs w:val="22"/>
          <w:lang w:val="fr-FR" w:eastAsia="x-none"/>
        </w:rPr>
        <w:t>É.U</w:t>
      </w:r>
      <w:r w:rsidR="001B286E" w:rsidRPr="0091249B">
        <w:rPr>
          <w:rFonts w:eastAsia="Malgun Gothic"/>
          <w:iCs/>
          <w:color w:val="000000" w:themeColor="text1"/>
          <w:kern w:val="22"/>
          <w:szCs w:val="22"/>
          <w:lang w:val="fr-FR" w:eastAsia="x-none"/>
        </w:rPr>
        <w:t xml:space="preserve"> </w:t>
      </w:r>
      <w:r w:rsidR="007C5C1F" w:rsidRPr="0091249B">
        <w:rPr>
          <w:rFonts w:eastAsia="Malgun Gothic"/>
          <w:iCs/>
          <w:color w:val="000000" w:themeColor="text1"/>
          <w:kern w:val="22"/>
          <w:szCs w:val="22"/>
          <w:lang w:val="fr-FR" w:eastAsia="x-none"/>
        </w:rPr>
        <w:t>pour l'année 2021, aux fins indiquées dans les tableaux 5a et 5b ci-dessus ;</w:t>
      </w:r>
    </w:p>
    <w:p w14:paraId="054D3163" w14:textId="0AE1BB87" w:rsidR="00512FD2" w:rsidRPr="00512FD2" w:rsidRDefault="00512FD2" w:rsidP="00512FD2">
      <w:pPr>
        <w:spacing w:before="120" w:after="120"/>
        <w:ind w:firstLine="720"/>
        <w:rPr>
          <w:rFonts w:eastAsia="Malgun Gothic"/>
          <w:iCs/>
          <w:color w:val="000000" w:themeColor="text1"/>
          <w:kern w:val="22"/>
          <w:szCs w:val="22"/>
          <w:lang w:val="fr-FR" w:eastAsia="x-none"/>
        </w:rPr>
      </w:pPr>
      <w:r>
        <w:rPr>
          <w:rFonts w:eastAsia="Malgun Gothic"/>
          <w:iCs/>
          <w:color w:val="000000" w:themeColor="text1"/>
          <w:kern w:val="22"/>
          <w:szCs w:val="22"/>
          <w:lang w:val="fr-FR" w:eastAsia="x-none"/>
        </w:rPr>
        <w:t xml:space="preserve">3. </w:t>
      </w:r>
      <w:r>
        <w:rPr>
          <w:rFonts w:eastAsia="Malgun Gothic"/>
          <w:iCs/>
          <w:color w:val="000000" w:themeColor="text1"/>
          <w:kern w:val="22"/>
          <w:szCs w:val="22"/>
          <w:lang w:val="fr-FR" w:eastAsia="x-none"/>
        </w:rPr>
        <w:tab/>
      </w:r>
      <w:r>
        <w:rPr>
          <w:rFonts w:eastAsia="Malgun Gothic"/>
          <w:i/>
          <w:color w:val="000000" w:themeColor="text1"/>
          <w:kern w:val="22"/>
          <w:szCs w:val="22"/>
          <w:lang w:val="fr-FR" w:eastAsia="x-none"/>
        </w:rPr>
        <w:t>Prie</w:t>
      </w:r>
      <w:r>
        <w:rPr>
          <w:rFonts w:eastAsia="Malgun Gothic"/>
          <w:iCs/>
          <w:color w:val="000000" w:themeColor="text1"/>
          <w:kern w:val="22"/>
          <w:szCs w:val="22"/>
          <w:lang w:val="fr-FR" w:eastAsia="x-none"/>
        </w:rPr>
        <w:t xml:space="preserve"> la Secrétaire exécutive de préparer des propositions pour le budget pour l’exercice biennal 2021-2022</w:t>
      </w:r>
      <w:r w:rsidR="00265324">
        <w:rPr>
          <w:rFonts w:eastAsia="Malgun Gothic"/>
          <w:iCs/>
          <w:color w:val="000000" w:themeColor="text1"/>
          <w:kern w:val="22"/>
          <w:szCs w:val="22"/>
          <w:lang w:val="fr-FR" w:eastAsia="x-none"/>
        </w:rPr>
        <w:t> ;</w:t>
      </w:r>
    </w:p>
    <w:p w14:paraId="363FB020" w14:textId="4098DE6B" w:rsidR="007C5C1F" w:rsidRPr="00084E4F" w:rsidRDefault="00512FD2" w:rsidP="00084E4F">
      <w:pPr>
        <w:spacing w:before="120" w:after="120"/>
        <w:ind w:firstLine="720"/>
        <w:rPr>
          <w:kern w:val="22"/>
          <w:szCs w:val="22"/>
          <w:lang w:val="fr-FR"/>
        </w:rPr>
      </w:pPr>
      <w:r>
        <w:rPr>
          <w:kern w:val="22"/>
          <w:szCs w:val="22"/>
          <w:lang w:val="fr-FR"/>
        </w:rPr>
        <w:t xml:space="preserve">4. </w:t>
      </w:r>
      <w:r>
        <w:rPr>
          <w:kern w:val="22"/>
          <w:szCs w:val="22"/>
          <w:lang w:val="fr-FR"/>
        </w:rPr>
        <w:tab/>
      </w:r>
      <w:r w:rsidR="007C5C1F" w:rsidRPr="00512FD2">
        <w:rPr>
          <w:rFonts w:eastAsia="Malgun Gothic"/>
          <w:i/>
          <w:iCs/>
          <w:snapToGrid w:val="0"/>
          <w:kern w:val="22"/>
          <w:szCs w:val="22"/>
          <w:lang w:val="fr-FR" w:eastAsia="x-none"/>
        </w:rPr>
        <w:t>Décide</w:t>
      </w:r>
      <w:r w:rsidR="007C5C1F" w:rsidRPr="0091249B">
        <w:rPr>
          <w:rFonts w:eastAsia="Malgun Gothic"/>
          <w:snapToGrid w:val="0"/>
          <w:kern w:val="22"/>
          <w:szCs w:val="22"/>
          <w:lang w:val="fr-FR" w:eastAsia="x-none"/>
        </w:rPr>
        <w:t xml:space="preserve"> d'appliquer, mutatis mutandis, le paragraphe 24 (3) au paragraphe 24 (14) de la décision de la </w:t>
      </w:r>
      <w:r>
        <w:rPr>
          <w:rFonts w:eastAsia="Malgun Gothic"/>
          <w:snapToGrid w:val="0"/>
          <w:kern w:val="22"/>
          <w:szCs w:val="22"/>
          <w:lang w:val="fr-FR" w:eastAsia="x-none"/>
        </w:rPr>
        <w:t>Conférence des Parties lors de sa seconde réunion extraordinaire.</w:t>
      </w:r>
    </w:p>
    <w:p w14:paraId="119E635D" w14:textId="0B5154AD" w:rsidR="00F02283" w:rsidRDefault="00EA7949" w:rsidP="00226DFF">
      <w:pPr>
        <w:pStyle w:val="ListParagraph"/>
        <w:numPr>
          <w:ilvl w:val="2"/>
          <w:numId w:val="3"/>
        </w:numPr>
        <w:ind w:left="1080" w:hanging="540"/>
        <w:rPr>
          <w:b/>
          <w:iCs/>
          <w:kern w:val="22"/>
          <w:szCs w:val="22"/>
          <w:lang w:val="fr-FR"/>
        </w:rPr>
      </w:pPr>
      <w:r>
        <w:rPr>
          <w:b/>
          <w:iCs/>
          <w:kern w:val="22"/>
          <w:szCs w:val="22"/>
          <w:lang w:val="fr-FR" w:eastAsia="x-none"/>
        </w:rPr>
        <w:t>PROJET DE DÉCISION À SOUMETTRE À L’EXAMEN DE LA CONFÉRENCE DES PARTIES</w:t>
      </w:r>
      <w:r w:rsidR="004E18BF">
        <w:rPr>
          <w:b/>
          <w:iCs/>
          <w:kern w:val="22"/>
          <w:szCs w:val="22"/>
          <w:lang w:val="fr-FR" w:eastAsia="x-none"/>
        </w:rPr>
        <w:t xml:space="preserve"> </w:t>
      </w:r>
      <w:r>
        <w:rPr>
          <w:b/>
          <w:iCs/>
          <w:kern w:val="22"/>
          <w:szCs w:val="22"/>
          <w:lang w:val="fr-FR" w:eastAsia="x-none"/>
        </w:rPr>
        <w:t xml:space="preserve">SIÉGEANT EN TANT QUE RÉUNION DES PARTIES AU PROTOCOLE DE NAGOYA SUR L’ACCÈS ET LE PARTAGE DES AVANTAGES </w:t>
      </w:r>
    </w:p>
    <w:p w14:paraId="747A7BA6" w14:textId="77777777" w:rsidR="00084E4F" w:rsidRDefault="00084E4F" w:rsidP="00084E4F">
      <w:pPr>
        <w:pStyle w:val="ListParagraph"/>
        <w:ind w:left="2700"/>
        <w:rPr>
          <w:b/>
          <w:iCs/>
          <w:kern w:val="22"/>
          <w:szCs w:val="22"/>
          <w:lang w:val="fr-FR"/>
        </w:rPr>
      </w:pPr>
    </w:p>
    <w:p w14:paraId="33B26116" w14:textId="481960E0" w:rsidR="00C857BF" w:rsidRPr="00A72BCF" w:rsidRDefault="00A72BCF" w:rsidP="00A72BCF">
      <w:pPr>
        <w:rPr>
          <w:bCs/>
          <w:iCs/>
          <w:kern w:val="22"/>
          <w:szCs w:val="22"/>
          <w:lang w:val="fr-FR"/>
        </w:rPr>
      </w:pPr>
      <w:r w:rsidRPr="00A72BCF">
        <w:rPr>
          <w:bCs/>
          <w:iCs/>
          <w:kern w:val="22"/>
          <w:szCs w:val="22"/>
          <w:lang w:val="fr-FR"/>
        </w:rPr>
        <w:t xml:space="preserve">26. </w:t>
      </w:r>
      <w:r w:rsidRPr="00A72BCF">
        <w:rPr>
          <w:bCs/>
          <w:iCs/>
          <w:kern w:val="22"/>
          <w:szCs w:val="22"/>
          <w:lang w:val="fr-FR"/>
        </w:rPr>
        <w:tab/>
      </w:r>
      <w:r w:rsidR="00050722" w:rsidRPr="00A72BCF">
        <w:rPr>
          <w:bCs/>
          <w:snapToGrid w:val="0"/>
          <w:kern w:val="22"/>
          <w:lang w:val="fr-FR"/>
        </w:rPr>
        <w:t>La Conférence des Parties siégeant en tant que réunion des Parties au Protocole de Nagoya sur le partage des avantages de l'accès aux ressources génétiques pourrait adopter une décision selon les lignes suivantes</w:t>
      </w:r>
      <w:r w:rsidRPr="00A72BCF">
        <w:rPr>
          <w:bCs/>
          <w:snapToGrid w:val="0"/>
          <w:kern w:val="22"/>
          <w:lang w:val="fr-FR"/>
        </w:rPr>
        <w:t> :</w:t>
      </w:r>
    </w:p>
    <w:p w14:paraId="7B7F6C49" w14:textId="3E3D9D3A" w:rsidR="004060B4" w:rsidRPr="004060B4" w:rsidRDefault="004060B4" w:rsidP="004060B4">
      <w:pPr>
        <w:pStyle w:val="Style1"/>
        <w:jc w:val="left"/>
        <w:rPr>
          <w:b w:val="0"/>
          <w:bCs w:val="0"/>
          <w:snapToGrid w:val="0"/>
          <w:kern w:val="22"/>
          <w:lang w:val="fr-FR"/>
        </w:rPr>
      </w:pPr>
      <w:r>
        <w:rPr>
          <w:snapToGrid w:val="0"/>
          <w:kern w:val="22"/>
          <w:lang w:val="fr-FR"/>
        </w:rPr>
        <w:tab/>
      </w:r>
      <w:r w:rsidRPr="004060B4">
        <w:rPr>
          <w:b w:val="0"/>
          <w:bCs w:val="0"/>
          <w:snapToGrid w:val="0"/>
          <w:kern w:val="22"/>
          <w:lang w:val="fr-FR"/>
        </w:rPr>
        <w:t>La Conférence des Parties siégeant en tant que réunion des Parties au Protocole de Nagoya sur l’accès et le partage des avantages,</w:t>
      </w:r>
    </w:p>
    <w:p w14:paraId="5D435A4A" w14:textId="0E193F53" w:rsidR="00C857BF" w:rsidRPr="00014329" w:rsidRDefault="007C5C1F" w:rsidP="000322A9">
      <w:pPr>
        <w:spacing w:before="120" w:after="120"/>
        <w:ind w:firstLine="709"/>
        <w:rPr>
          <w:kern w:val="22"/>
          <w:szCs w:val="22"/>
          <w:lang w:val="fr-FR"/>
        </w:rPr>
      </w:pPr>
      <w:r w:rsidRPr="00014329">
        <w:rPr>
          <w:i/>
          <w:iCs/>
          <w:kern w:val="22"/>
          <w:szCs w:val="22"/>
          <w:lang w:val="fr-FR"/>
        </w:rPr>
        <w:t xml:space="preserve">Rappelant </w:t>
      </w:r>
      <w:r w:rsidRPr="00014329">
        <w:rPr>
          <w:kern w:val="22"/>
          <w:szCs w:val="22"/>
          <w:lang w:val="fr-FR"/>
        </w:rPr>
        <w:t xml:space="preserve">sa décision 3/16 </w:t>
      </w:r>
      <w:r w:rsidR="004060B4">
        <w:rPr>
          <w:kern w:val="22"/>
          <w:szCs w:val="22"/>
          <w:lang w:val="fr-FR"/>
        </w:rPr>
        <w:t xml:space="preserve">dans laquelle </w:t>
      </w:r>
      <w:r w:rsidR="00687290">
        <w:rPr>
          <w:kern w:val="22"/>
          <w:szCs w:val="22"/>
          <w:lang w:val="fr-FR"/>
        </w:rPr>
        <w:t>elle approuvait le budget</w:t>
      </w:r>
      <w:r w:rsidR="00687290" w:rsidRPr="004A1350">
        <w:rPr>
          <w:kern w:val="22"/>
          <w:szCs w:val="22"/>
          <w:lang w:val="fr-FR"/>
        </w:rPr>
        <w:t xml:space="preserve"> </w:t>
      </w:r>
      <w:r w:rsidRPr="00014329">
        <w:rPr>
          <w:kern w:val="22"/>
          <w:szCs w:val="22"/>
          <w:lang w:val="fr-FR"/>
        </w:rPr>
        <w:t>pour l</w:t>
      </w:r>
      <w:r w:rsidR="001378FC">
        <w:rPr>
          <w:kern w:val="22"/>
          <w:szCs w:val="22"/>
          <w:lang w:val="fr-FR"/>
        </w:rPr>
        <w:t>’exercice biennal</w:t>
      </w:r>
      <w:r w:rsidRPr="00014329">
        <w:rPr>
          <w:kern w:val="22"/>
          <w:szCs w:val="22"/>
          <w:lang w:val="fr-FR"/>
        </w:rPr>
        <w:t xml:space="preserve"> 2019-2020, </w:t>
      </w:r>
    </w:p>
    <w:p w14:paraId="7BEBA5CA" w14:textId="63BC9CE5" w:rsidR="00C857BF" w:rsidRPr="00014329" w:rsidRDefault="007C5C1F" w:rsidP="000322A9">
      <w:pPr>
        <w:spacing w:before="120" w:after="120"/>
        <w:ind w:firstLine="709"/>
        <w:rPr>
          <w:kern w:val="22"/>
          <w:szCs w:val="22"/>
          <w:lang w:val="fr-FR"/>
        </w:rPr>
      </w:pPr>
      <w:r w:rsidRPr="001378FC">
        <w:rPr>
          <w:i/>
          <w:iCs/>
          <w:kern w:val="22"/>
          <w:szCs w:val="22"/>
          <w:lang w:val="fr-FR"/>
        </w:rPr>
        <w:t>Considérant</w:t>
      </w:r>
      <w:r w:rsidRPr="00014329">
        <w:rPr>
          <w:kern w:val="22"/>
          <w:szCs w:val="22"/>
          <w:lang w:val="fr-FR"/>
        </w:rPr>
        <w:t xml:space="preserve"> que la quatrième réunion de la Conférence des Parties siégeant en tant que réunion des Parties au Protocole de Nagoya a été reportée à 2021 en raison des contraintes liées à la pandémie de COVID-19,  </w:t>
      </w:r>
    </w:p>
    <w:p w14:paraId="4CA95112" w14:textId="765544B3" w:rsidR="007C5C1F" w:rsidRPr="00014329" w:rsidRDefault="007C5C1F" w:rsidP="000322A9">
      <w:pPr>
        <w:spacing w:before="120" w:after="120"/>
        <w:ind w:firstLine="709"/>
        <w:rPr>
          <w:i/>
          <w:iCs/>
          <w:kern w:val="22"/>
          <w:szCs w:val="22"/>
          <w:lang w:val="fr-FR"/>
        </w:rPr>
      </w:pPr>
      <w:r w:rsidRPr="00014329">
        <w:rPr>
          <w:i/>
          <w:iCs/>
          <w:kern w:val="22"/>
          <w:szCs w:val="22"/>
          <w:lang w:val="fr-FR"/>
        </w:rPr>
        <w:t>Notant</w:t>
      </w:r>
      <w:r w:rsidRPr="00B10C21">
        <w:rPr>
          <w:kern w:val="22"/>
          <w:szCs w:val="22"/>
          <w:lang w:val="fr-FR"/>
        </w:rPr>
        <w:t>, par conséquent, la nécessité de prendre des dispositions pour permettre le fonctionnement continu des organes d</w:t>
      </w:r>
      <w:r w:rsidR="004060B4">
        <w:rPr>
          <w:kern w:val="22"/>
          <w:szCs w:val="22"/>
          <w:lang w:val="fr-FR"/>
        </w:rPr>
        <w:t>u Protocole</w:t>
      </w:r>
      <w:r w:rsidRPr="00B10C21">
        <w:rPr>
          <w:kern w:val="22"/>
          <w:szCs w:val="22"/>
          <w:lang w:val="fr-FR"/>
        </w:rPr>
        <w:t xml:space="preserve">, y compris son </w:t>
      </w:r>
      <w:r w:rsidR="006A5237">
        <w:rPr>
          <w:kern w:val="22"/>
          <w:szCs w:val="22"/>
          <w:lang w:val="fr-FR"/>
        </w:rPr>
        <w:t>S</w:t>
      </w:r>
      <w:r w:rsidRPr="00B10C21">
        <w:rPr>
          <w:kern w:val="22"/>
          <w:szCs w:val="22"/>
          <w:lang w:val="fr-FR"/>
        </w:rPr>
        <w:t xml:space="preserve">ecrétariat et les réunions des </w:t>
      </w:r>
      <w:r w:rsidR="003F7A1D">
        <w:rPr>
          <w:kern w:val="22"/>
          <w:szCs w:val="22"/>
          <w:lang w:val="fr-FR"/>
        </w:rPr>
        <w:t>P</w:t>
      </w:r>
      <w:r w:rsidRPr="00B10C21">
        <w:rPr>
          <w:kern w:val="22"/>
          <w:szCs w:val="22"/>
          <w:lang w:val="fr-FR"/>
        </w:rPr>
        <w:t>arties et de ses organes subsidiaires,</w:t>
      </w:r>
    </w:p>
    <w:p w14:paraId="2A9EA966" w14:textId="253E86A9" w:rsidR="00C857BF" w:rsidRDefault="007C5C1F" w:rsidP="000322A9">
      <w:pPr>
        <w:spacing w:before="120" w:after="120"/>
        <w:ind w:firstLine="709"/>
        <w:rPr>
          <w:rFonts w:eastAsia="Malgun Gothic"/>
          <w:iCs/>
          <w:kern w:val="22"/>
          <w:szCs w:val="22"/>
          <w:lang w:val="fr-FR" w:eastAsia="x-none"/>
        </w:rPr>
      </w:pPr>
      <w:r w:rsidRPr="00B10C21">
        <w:rPr>
          <w:rFonts w:eastAsia="Malgun Gothic"/>
          <w:i/>
          <w:kern w:val="22"/>
          <w:szCs w:val="22"/>
          <w:lang w:val="fr-FR" w:eastAsia="x-none"/>
        </w:rPr>
        <w:t>Prenant note</w:t>
      </w:r>
      <w:r w:rsidRPr="00014329">
        <w:rPr>
          <w:rFonts w:eastAsia="Malgun Gothic"/>
          <w:iCs/>
          <w:kern w:val="22"/>
          <w:szCs w:val="22"/>
          <w:lang w:val="fr-FR" w:eastAsia="x-none"/>
        </w:rPr>
        <w:t xml:space="preserve"> de la proposition du Bureau de la Conférence des Parties que, à titre exceptionnel, les Parties examinent et approuvent un budget intérimaire pour 2021 selon des modalités convenues,</w:t>
      </w:r>
    </w:p>
    <w:p w14:paraId="6AC0D157" w14:textId="79CC6EBA" w:rsidR="00B77588" w:rsidRPr="00B77588" w:rsidRDefault="00B77588" w:rsidP="000322A9">
      <w:pPr>
        <w:spacing w:before="120" w:after="120"/>
        <w:ind w:firstLine="709"/>
        <w:rPr>
          <w:rFonts w:eastAsia="Malgun Gothic"/>
          <w:i/>
          <w:snapToGrid w:val="0"/>
          <w:kern w:val="22"/>
          <w:szCs w:val="22"/>
          <w:lang w:val="fr-FR"/>
        </w:rPr>
      </w:pPr>
      <w:r w:rsidRPr="00B77588">
        <w:rPr>
          <w:rFonts w:eastAsia="Malgun Gothic"/>
          <w:i/>
          <w:kern w:val="22"/>
          <w:szCs w:val="22"/>
          <w:lang w:val="fr-FR" w:eastAsia="x-none"/>
        </w:rPr>
        <w:t xml:space="preserve">Prenant note également </w:t>
      </w:r>
      <w:r w:rsidRPr="006E3D30">
        <w:rPr>
          <w:rFonts w:eastAsia="Malgun Gothic"/>
          <w:iCs/>
          <w:kern w:val="22"/>
          <w:szCs w:val="22"/>
          <w:lang w:val="fr-FR" w:eastAsia="x-none"/>
        </w:rPr>
        <w:t>de la note de la Secrétaire exécutive</w:t>
      </w:r>
      <w:r w:rsidR="00084E4F">
        <w:rPr>
          <w:rFonts w:eastAsia="Malgun Gothic"/>
          <w:iCs/>
          <w:kern w:val="22"/>
          <w:szCs w:val="22"/>
          <w:lang w:val="fr-FR" w:eastAsia="x-none"/>
        </w:rPr>
        <w:t>,</w:t>
      </w:r>
      <w:r w:rsidR="00DC7648">
        <w:rPr>
          <w:rStyle w:val="FootnoteReference"/>
          <w:rFonts w:eastAsia="Malgun Gothic"/>
          <w:i/>
          <w:snapToGrid w:val="0"/>
          <w:kern w:val="22"/>
        </w:rPr>
        <w:footnoteReference w:customMarkFollows="1" w:id="9"/>
        <w:t>6</w:t>
      </w:r>
    </w:p>
    <w:p w14:paraId="0E54D9F2" w14:textId="33B67076" w:rsidR="0065222F" w:rsidRPr="00014329" w:rsidRDefault="007C5C1F" w:rsidP="005B7371">
      <w:pPr>
        <w:pStyle w:val="ListParagraph"/>
        <w:numPr>
          <w:ilvl w:val="0"/>
          <w:numId w:val="2"/>
        </w:numPr>
        <w:spacing w:before="120" w:after="120"/>
        <w:ind w:left="0" w:firstLine="709"/>
        <w:contextualSpacing w:val="0"/>
        <w:rPr>
          <w:kern w:val="22"/>
          <w:szCs w:val="22"/>
          <w:lang w:val="fr-FR"/>
        </w:rPr>
      </w:pPr>
      <w:r w:rsidRPr="00B10C21">
        <w:rPr>
          <w:i/>
          <w:iCs/>
          <w:kern w:val="22"/>
          <w:szCs w:val="22"/>
          <w:lang w:val="fr-FR"/>
        </w:rPr>
        <w:t>Décide</w:t>
      </w:r>
      <w:r w:rsidRPr="00014329">
        <w:rPr>
          <w:kern w:val="22"/>
          <w:szCs w:val="22"/>
          <w:lang w:val="fr-FR"/>
        </w:rPr>
        <w:t xml:space="preserve"> de prolonger, jusqu'au 31 décembre 2021, ou dans le cas où la </w:t>
      </w:r>
      <w:r w:rsidR="00122908">
        <w:rPr>
          <w:kern w:val="22"/>
          <w:szCs w:val="22"/>
          <w:lang w:val="fr-FR"/>
        </w:rPr>
        <w:t>quatrième réunion de la Conférence des Parties siégeant en tant que réunion des Parties au Protocole de Nagoya</w:t>
      </w:r>
      <w:r w:rsidRPr="00014329">
        <w:rPr>
          <w:kern w:val="22"/>
          <w:szCs w:val="22"/>
          <w:lang w:val="fr-FR"/>
        </w:rPr>
        <w:t xml:space="preserve"> ne se tiendrait </w:t>
      </w:r>
      <w:r w:rsidRPr="00014329">
        <w:rPr>
          <w:kern w:val="22"/>
          <w:szCs w:val="22"/>
          <w:lang w:val="fr-FR"/>
        </w:rPr>
        <w:lastRenderedPageBreak/>
        <w:t xml:space="preserve">pas en 2021, jusqu'à la fin du mois suivant la clôture de la </w:t>
      </w:r>
      <w:r w:rsidR="00122908">
        <w:rPr>
          <w:kern w:val="22"/>
          <w:szCs w:val="22"/>
          <w:lang w:val="fr-FR"/>
        </w:rPr>
        <w:t xml:space="preserve">quatrième réunion de la conférence des Parties siégeant en tant que réunion des Parties au Protocole de Nagoya </w:t>
      </w:r>
      <w:r w:rsidRPr="00014329">
        <w:rPr>
          <w:kern w:val="22"/>
          <w:szCs w:val="22"/>
          <w:lang w:val="fr-FR"/>
        </w:rPr>
        <w:t xml:space="preserve">, la validité des fonds alloués dans le budget 2019-2020 </w:t>
      </w:r>
      <w:r w:rsidR="00122908">
        <w:rPr>
          <w:kern w:val="22"/>
          <w:szCs w:val="22"/>
          <w:lang w:val="fr-FR"/>
        </w:rPr>
        <w:t xml:space="preserve">et </w:t>
      </w:r>
      <w:r w:rsidRPr="00014329">
        <w:rPr>
          <w:kern w:val="22"/>
          <w:szCs w:val="22"/>
          <w:lang w:val="fr-FR"/>
        </w:rPr>
        <w:t>associé aux coûts des réunions de la C</w:t>
      </w:r>
      <w:r w:rsidR="00122908">
        <w:rPr>
          <w:kern w:val="22"/>
          <w:szCs w:val="22"/>
          <w:lang w:val="fr-FR"/>
        </w:rPr>
        <w:t>onférence des Parties siégeant en tant que réunion des Parties au Protocole de Nagoya</w:t>
      </w:r>
      <w:r w:rsidRPr="00014329">
        <w:rPr>
          <w:kern w:val="22"/>
          <w:szCs w:val="22"/>
          <w:lang w:val="fr-FR"/>
        </w:rPr>
        <w:t xml:space="preserve"> et de ses organes subsidiaires qui sont reportées de l'exercice biennal 2019-2020 ;</w:t>
      </w:r>
    </w:p>
    <w:p w14:paraId="721DB969" w14:textId="75A218B5" w:rsidR="007C5C1F" w:rsidRPr="0084268F" w:rsidRDefault="007C5C1F" w:rsidP="005B7371">
      <w:pPr>
        <w:pStyle w:val="ListParagraph"/>
        <w:numPr>
          <w:ilvl w:val="0"/>
          <w:numId w:val="2"/>
        </w:numPr>
        <w:shd w:val="clear" w:color="auto" w:fill="FFFFFF" w:themeFill="background1"/>
        <w:spacing w:before="120" w:after="120"/>
        <w:ind w:left="0" w:firstLine="709"/>
        <w:contextualSpacing w:val="0"/>
        <w:rPr>
          <w:iCs/>
          <w:kern w:val="22"/>
          <w:szCs w:val="22"/>
          <w:lang w:val="fr-FR" w:eastAsia="x-none"/>
        </w:rPr>
      </w:pPr>
      <w:r w:rsidRPr="00014329">
        <w:rPr>
          <w:rFonts w:eastAsia="Malgun Gothic"/>
          <w:i/>
          <w:iCs/>
          <w:kern w:val="22"/>
          <w:szCs w:val="22"/>
          <w:lang w:val="fr-FR" w:eastAsia="x-none"/>
        </w:rPr>
        <w:t xml:space="preserve">Approuve, </w:t>
      </w:r>
      <w:r w:rsidRPr="00864905">
        <w:rPr>
          <w:rFonts w:eastAsia="Malgun Gothic"/>
          <w:kern w:val="22"/>
          <w:szCs w:val="22"/>
          <w:lang w:val="fr-FR" w:eastAsia="x-none"/>
        </w:rPr>
        <w:t xml:space="preserve">à titre exceptionnel, un budget-programme de base intérimaire pour le Protocole de Nagoya sur l'accès et le partage des avantages de 1 863 818 dollars </w:t>
      </w:r>
      <w:r w:rsidR="001378FC">
        <w:rPr>
          <w:rFonts w:eastAsia="Malgun Gothic"/>
          <w:iCs/>
          <w:color w:val="000000" w:themeColor="text1"/>
          <w:kern w:val="22"/>
          <w:szCs w:val="22"/>
          <w:lang w:val="fr-FR" w:eastAsia="x-none"/>
        </w:rPr>
        <w:t>É.U</w:t>
      </w:r>
      <w:r w:rsidR="001378FC" w:rsidRPr="0091249B">
        <w:rPr>
          <w:rFonts w:eastAsia="Malgun Gothic"/>
          <w:iCs/>
          <w:color w:val="000000" w:themeColor="text1"/>
          <w:kern w:val="22"/>
          <w:szCs w:val="22"/>
          <w:lang w:val="fr-FR" w:eastAsia="x-none"/>
        </w:rPr>
        <w:t xml:space="preserve"> </w:t>
      </w:r>
      <w:r w:rsidRPr="00864905">
        <w:rPr>
          <w:rFonts w:eastAsia="Malgun Gothic"/>
          <w:kern w:val="22"/>
          <w:szCs w:val="22"/>
          <w:lang w:val="fr-FR" w:eastAsia="x-none"/>
        </w:rPr>
        <w:t xml:space="preserve">pour l'année 2021, représentant 11 % du budget intérimaire intégré de 16 943 800 dollars </w:t>
      </w:r>
      <w:r w:rsidR="001378FC">
        <w:rPr>
          <w:rFonts w:eastAsia="Malgun Gothic"/>
          <w:iCs/>
          <w:color w:val="000000" w:themeColor="text1"/>
          <w:kern w:val="22"/>
          <w:szCs w:val="22"/>
          <w:lang w:val="fr-FR" w:eastAsia="x-none"/>
        </w:rPr>
        <w:t>É.U</w:t>
      </w:r>
      <w:r w:rsidR="001378FC" w:rsidRPr="0091249B">
        <w:rPr>
          <w:rFonts w:eastAsia="Malgun Gothic"/>
          <w:iCs/>
          <w:color w:val="000000" w:themeColor="text1"/>
          <w:kern w:val="22"/>
          <w:szCs w:val="22"/>
          <w:lang w:val="fr-FR" w:eastAsia="x-none"/>
        </w:rPr>
        <w:t xml:space="preserve"> </w:t>
      </w:r>
      <w:r w:rsidRPr="00864905">
        <w:rPr>
          <w:rFonts w:eastAsia="Malgun Gothic"/>
          <w:kern w:val="22"/>
          <w:szCs w:val="22"/>
          <w:lang w:val="fr-FR" w:eastAsia="x-none"/>
        </w:rPr>
        <w:t>pour l'année 2021, aux fins énumérées dans les tableaux 5a et 5b ci-dessus ;</w:t>
      </w:r>
    </w:p>
    <w:p w14:paraId="669AD0E9" w14:textId="2108A123" w:rsidR="0084268F" w:rsidRPr="00014329" w:rsidRDefault="0084268F" w:rsidP="005B7371">
      <w:pPr>
        <w:pStyle w:val="ListParagraph"/>
        <w:numPr>
          <w:ilvl w:val="0"/>
          <w:numId w:val="2"/>
        </w:numPr>
        <w:shd w:val="clear" w:color="auto" w:fill="FFFFFF" w:themeFill="background1"/>
        <w:spacing w:before="120" w:after="120"/>
        <w:ind w:left="0" w:firstLine="709"/>
        <w:contextualSpacing w:val="0"/>
        <w:rPr>
          <w:iCs/>
          <w:kern w:val="22"/>
          <w:szCs w:val="22"/>
          <w:lang w:val="fr-FR" w:eastAsia="x-none"/>
        </w:rPr>
      </w:pPr>
      <w:r>
        <w:rPr>
          <w:rFonts w:eastAsia="Malgun Gothic"/>
          <w:i/>
          <w:iCs/>
          <w:kern w:val="22"/>
          <w:szCs w:val="22"/>
          <w:lang w:val="fr-FR" w:eastAsia="x-none"/>
        </w:rPr>
        <w:t xml:space="preserve">Prie </w:t>
      </w:r>
      <w:r w:rsidRPr="0084268F">
        <w:rPr>
          <w:rFonts w:eastAsia="Malgun Gothic"/>
          <w:kern w:val="22"/>
          <w:szCs w:val="22"/>
          <w:lang w:val="fr-FR" w:eastAsia="x-none"/>
        </w:rPr>
        <w:t>la Secrétaire exécutive de préparer des propositions pour le budget de l’exercice biennal 2021-2022 ;</w:t>
      </w:r>
    </w:p>
    <w:p w14:paraId="7632870B" w14:textId="6E2BB238" w:rsidR="00AF01C2" w:rsidRPr="00687290" w:rsidRDefault="007C5C1F" w:rsidP="005B7371">
      <w:pPr>
        <w:pStyle w:val="ListParagraph"/>
        <w:numPr>
          <w:ilvl w:val="0"/>
          <w:numId w:val="2"/>
        </w:numPr>
        <w:shd w:val="clear" w:color="auto" w:fill="FFFFFF" w:themeFill="background1"/>
        <w:spacing w:before="120" w:after="120"/>
        <w:ind w:left="0" w:firstLine="709"/>
        <w:contextualSpacing w:val="0"/>
        <w:rPr>
          <w:iCs/>
          <w:kern w:val="22"/>
          <w:szCs w:val="22"/>
          <w:lang w:val="fr-FR" w:eastAsia="x-none"/>
        </w:rPr>
      </w:pPr>
      <w:r w:rsidRPr="00B10C21">
        <w:rPr>
          <w:rFonts w:eastAsia="Malgun Gothic"/>
          <w:i/>
          <w:snapToGrid w:val="0"/>
          <w:kern w:val="22"/>
          <w:szCs w:val="22"/>
          <w:lang w:val="fr-FR" w:eastAsia="x-none"/>
        </w:rPr>
        <w:t xml:space="preserve">Décide </w:t>
      </w:r>
      <w:r w:rsidRPr="00014329">
        <w:rPr>
          <w:rFonts w:eastAsia="Malgun Gothic"/>
          <w:iCs/>
          <w:snapToGrid w:val="0"/>
          <w:kern w:val="22"/>
          <w:szCs w:val="22"/>
          <w:lang w:val="fr-FR" w:eastAsia="x-none"/>
        </w:rPr>
        <w:t>d'appliquer, mutatis mutandis, le paragraphe 24 (3) au paragraphe 24 (14) de la décision de la Conférence des Parties</w:t>
      </w:r>
      <w:r w:rsidR="00C57C81">
        <w:rPr>
          <w:rFonts w:eastAsia="Malgun Gothic"/>
          <w:iCs/>
          <w:snapToGrid w:val="0"/>
          <w:kern w:val="22"/>
          <w:szCs w:val="22"/>
          <w:lang w:val="fr-FR" w:eastAsia="x-none"/>
        </w:rPr>
        <w:t xml:space="preserve"> lors de sa deuxième réunion extraordinaire.</w:t>
      </w:r>
    </w:p>
    <w:p w14:paraId="1D60FB24" w14:textId="77777777" w:rsidR="00687290" w:rsidRPr="00687290" w:rsidRDefault="00687290" w:rsidP="00687290">
      <w:pPr>
        <w:shd w:val="clear" w:color="auto" w:fill="FFFFFF" w:themeFill="background1"/>
        <w:spacing w:before="120" w:after="120"/>
        <w:rPr>
          <w:iCs/>
          <w:kern w:val="22"/>
          <w:szCs w:val="22"/>
          <w:lang w:val="fr-FR" w:eastAsia="x-none"/>
        </w:rPr>
      </w:pPr>
    </w:p>
    <w:p w14:paraId="40E13A55" w14:textId="77777777" w:rsidR="006E1427" w:rsidRPr="006E23F0" w:rsidRDefault="006D2B32" w:rsidP="000322A9">
      <w:pPr>
        <w:keepNext/>
        <w:rPr>
          <w:b/>
          <w:color w:val="000000" w:themeColor="text1"/>
          <w:kern w:val="22"/>
          <w:szCs w:val="22"/>
          <w:lang w:val="fr-CA" w:eastAsia="de-CH"/>
        </w:rPr>
      </w:pPr>
      <w:r w:rsidRPr="006E23F0">
        <w:rPr>
          <w:b/>
          <w:color w:val="000000" w:themeColor="text1"/>
          <w:kern w:val="22"/>
          <w:szCs w:val="22"/>
          <w:lang w:val="fr-CA" w:eastAsia="de-CH"/>
        </w:rPr>
        <w:t xml:space="preserve">Tableau 6 </w:t>
      </w:r>
    </w:p>
    <w:p w14:paraId="386F0107" w14:textId="1B879B29" w:rsidR="0074350D" w:rsidRPr="006E23F0" w:rsidRDefault="006D2B32" w:rsidP="000322A9">
      <w:pPr>
        <w:keepNext/>
        <w:rPr>
          <w:b/>
          <w:kern w:val="22"/>
          <w:sz w:val="20"/>
          <w:szCs w:val="20"/>
          <w:lang w:val="fr-CA"/>
        </w:rPr>
      </w:pPr>
      <w:r w:rsidRPr="006E1427">
        <w:rPr>
          <w:b/>
          <w:color w:val="000000" w:themeColor="text1"/>
          <w:kern w:val="22"/>
          <w:szCs w:val="22"/>
          <w:lang w:val="fr-FR" w:eastAsia="de-CH"/>
        </w:rPr>
        <w:t>Besoins en personnel du Secrétariat à partir des budgets de base de la Convention et de ses Protocoles 2021</w:t>
      </w:r>
    </w:p>
    <w:tbl>
      <w:tblPr>
        <w:tblW w:w="9000" w:type="dxa"/>
        <w:jc w:val="center"/>
        <w:tblLook w:val="04A0" w:firstRow="1" w:lastRow="0" w:firstColumn="1" w:lastColumn="0" w:noHBand="0" w:noVBand="1"/>
      </w:tblPr>
      <w:tblGrid>
        <w:gridCol w:w="2800"/>
        <w:gridCol w:w="2060"/>
        <w:gridCol w:w="2250"/>
        <w:gridCol w:w="1890"/>
      </w:tblGrid>
      <w:tr w:rsidR="00C302BB" w:rsidRPr="00EB35C8" w14:paraId="54EBEB76" w14:textId="41668475" w:rsidTr="00EB35C8">
        <w:trPr>
          <w:trHeight w:val="300"/>
          <w:jc w:val="center"/>
        </w:trPr>
        <w:tc>
          <w:tcPr>
            <w:tcW w:w="2800" w:type="dxa"/>
            <w:tcBorders>
              <w:top w:val="nil"/>
              <w:left w:val="nil"/>
              <w:bottom w:val="single" w:sz="8" w:space="0" w:color="auto"/>
              <w:right w:val="nil"/>
            </w:tcBorders>
            <w:shd w:val="clear" w:color="auto" w:fill="auto"/>
            <w:vAlign w:val="center"/>
            <w:hideMark/>
          </w:tcPr>
          <w:p w14:paraId="0717C7E7" w14:textId="373A9CC7" w:rsidR="00C302BB" w:rsidRPr="00EB35C8" w:rsidRDefault="00D80B59" w:rsidP="00D80B59">
            <w:pPr>
              <w:keepNext/>
              <w:jc w:val="center"/>
              <w:rPr>
                <w:i/>
                <w:iCs/>
                <w:color w:val="000000" w:themeColor="text1"/>
                <w:kern w:val="22"/>
                <w:szCs w:val="22"/>
                <w:lang w:val="fr-FR"/>
              </w:rPr>
            </w:pPr>
            <w:r w:rsidRPr="00EB35C8">
              <w:rPr>
                <w:i/>
                <w:iCs/>
                <w:color w:val="000000" w:themeColor="text1"/>
                <w:kern w:val="22"/>
                <w:szCs w:val="22"/>
                <w:lang w:val="fr-FR"/>
              </w:rPr>
              <w:t>Niveau et catégorie</w:t>
            </w:r>
          </w:p>
        </w:tc>
        <w:tc>
          <w:tcPr>
            <w:tcW w:w="2060" w:type="dxa"/>
            <w:tcBorders>
              <w:top w:val="nil"/>
              <w:left w:val="nil"/>
              <w:bottom w:val="single" w:sz="8" w:space="0" w:color="auto"/>
              <w:right w:val="nil"/>
            </w:tcBorders>
            <w:shd w:val="clear" w:color="auto" w:fill="auto"/>
            <w:vAlign w:val="center"/>
            <w:hideMark/>
          </w:tcPr>
          <w:p w14:paraId="365CA888" w14:textId="50DD0F3F" w:rsidR="00C302BB" w:rsidRPr="00EB35C8" w:rsidRDefault="00EB35C8" w:rsidP="000322A9">
            <w:pPr>
              <w:keepNext/>
              <w:jc w:val="right"/>
              <w:rPr>
                <w:i/>
                <w:color w:val="000000" w:themeColor="text1"/>
                <w:kern w:val="22"/>
                <w:szCs w:val="22"/>
                <w:lang w:val="fr-FR"/>
              </w:rPr>
            </w:pPr>
            <w:r>
              <w:rPr>
                <w:i/>
                <w:color w:val="000000" w:themeColor="text1"/>
                <w:kern w:val="22"/>
                <w:szCs w:val="22"/>
                <w:lang w:val="fr-FR"/>
              </w:rPr>
              <w:t xml:space="preserve">  </w:t>
            </w:r>
            <w:r w:rsidR="00C302BB" w:rsidRPr="00EB35C8">
              <w:rPr>
                <w:i/>
                <w:color w:val="000000" w:themeColor="text1"/>
                <w:kern w:val="22"/>
                <w:szCs w:val="22"/>
                <w:lang w:val="fr-FR"/>
              </w:rPr>
              <w:t>A</w:t>
            </w:r>
            <w:r w:rsidR="006D2B32" w:rsidRPr="00EB35C8">
              <w:rPr>
                <w:i/>
                <w:color w:val="000000" w:themeColor="text1"/>
                <w:kern w:val="22"/>
                <w:szCs w:val="22"/>
                <w:lang w:val="fr-FR"/>
              </w:rPr>
              <w:t>pprouvé</w:t>
            </w:r>
            <w:r w:rsidR="00C302BB" w:rsidRPr="00EB35C8">
              <w:rPr>
                <w:i/>
                <w:color w:val="000000" w:themeColor="text1"/>
                <w:kern w:val="22"/>
                <w:szCs w:val="22"/>
                <w:lang w:val="fr-FR"/>
              </w:rPr>
              <w:t xml:space="preserve"> 2019/2020</w:t>
            </w:r>
          </w:p>
        </w:tc>
        <w:tc>
          <w:tcPr>
            <w:tcW w:w="2250" w:type="dxa"/>
            <w:tcBorders>
              <w:top w:val="nil"/>
              <w:left w:val="nil"/>
              <w:bottom w:val="single" w:sz="8" w:space="0" w:color="auto"/>
              <w:right w:val="nil"/>
            </w:tcBorders>
            <w:shd w:val="clear" w:color="auto" w:fill="auto"/>
            <w:vAlign w:val="center"/>
            <w:hideMark/>
          </w:tcPr>
          <w:p w14:paraId="1BBA4B6A" w14:textId="7561C044" w:rsidR="00C302BB" w:rsidRPr="00EB35C8" w:rsidRDefault="00C302BB" w:rsidP="000322A9">
            <w:pPr>
              <w:keepNext/>
              <w:jc w:val="right"/>
              <w:rPr>
                <w:i/>
                <w:color w:val="000000" w:themeColor="text1"/>
                <w:kern w:val="22"/>
                <w:szCs w:val="22"/>
                <w:lang w:val="fr-FR"/>
              </w:rPr>
            </w:pPr>
            <w:r w:rsidRPr="00EB35C8">
              <w:rPr>
                <w:i/>
                <w:color w:val="000000" w:themeColor="text1"/>
                <w:kern w:val="22"/>
                <w:szCs w:val="22"/>
                <w:lang w:val="fr-FR"/>
              </w:rPr>
              <w:t>Propo</w:t>
            </w:r>
            <w:r w:rsidR="006D2B32" w:rsidRPr="00EB35C8">
              <w:rPr>
                <w:i/>
                <w:color w:val="000000" w:themeColor="text1"/>
                <w:kern w:val="22"/>
                <w:szCs w:val="22"/>
                <w:lang w:val="fr-FR"/>
              </w:rPr>
              <w:t>sé</w:t>
            </w:r>
            <w:r w:rsidRPr="00EB35C8">
              <w:rPr>
                <w:i/>
                <w:color w:val="000000" w:themeColor="text1"/>
                <w:kern w:val="22"/>
                <w:szCs w:val="22"/>
                <w:lang w:val="fr-FR"/>
              </w:rPr>
              <w:t xml:space="preserve"> 2021</w:t>
            </w:r>
          </w:p>
        </w:tc>
        <w:tc>
          <w:tcPr>
            <w:tcW w:w="1890" w:type="dxa"/>
            <w:tcBorders>
              <w:top w:val="nil"/>
              <w:left w:val="nil"/>
              <w:bottom w:val="single" w:sz="8" w:space="0" w:color="auto"/>
              <w:right w:val="nil"/>
            </w:tcBorders>
          </w:tcPr>
          <w:p w14:paraId="14F449C2" w14:textId="669DE84B" w:rsidR="00C302BB" w:rsidRPr="00EB35C8" w:rsidRDefault="00C302BB" w:rsidP="000322A9">
            <w:pPr>
              <w:keepNext/>
              <w:jc w:val="right"/>
              <w:rPr>
                <w:i/>
                <w:color w:val="000000" w:themeColor="text1"/>
                <w:kern w:val="22"/>
                <w:szCs w:val="22"/>
                <w:lang w:val="fr-FR"/>
              </w:rPr>
            </w:pPr>
            <w:r w:rsidRPr="00EB35C8">
              <w:rPr>
                <w:i/>
                <w:color w:val="000000" w:themeColor="text1"/>
                <w:kern w:val="22"/>
                <w:szCs w:val="22"/>
                <w:lang w:val="fr-FR"/>
              </w:rPr>
              <w:t>Variance</w:t>
            </w:r>
          </w:p>
        </w:tc>
      </w:tr>
      <w:tr w:rsidR="00C302BB" w:rsidRPr="00EB35C8" w14:paraId="598DD700" w14:textId="7ABE555D" w:rsidTr="00EB35C8">
        <w:trPr>
          <w:trHeight w:val="288"/>
          <w:jc w:val="center"/>
        </w:trPr>
        <w:tc>
          <w:tcPr>
            <w:tcW w:w="2800" w:type="dxa"/>
            <w:tcBorders>
              <w:top w:val="nil"/>
              <w:left w:val="nil"/>
              <w:bottom w:val="nil"/>
              <w:right w:val="nil"/>
            </w:tcBorders>
            <w:shd w:val="clear" w:color="auto" w:fill="auto"/>
            <w:noWrap/>
            <w:vAlign w:val="center"/>
            <w:hideMark/>
          </w:tcPr>
          <w:p w14:paraId="79B4F26B" w14:textId="4D715CC5" w:rsidR="00C302BB" w:rsidRPr="00EB35C8" w:rsidRDefault="006D2B32" w:rsidP="000322A9">
            <w:pPr>
              <w:keepNext/>
              <w:rPr>
                <w:b/>
                <w:bCs/>
                <w:color w:val="000000" w:themeColor="text1"/>
                <w:kern w:val="22"/>
                <w:szCs w:val="22"/>
                <w:lang w:val="fr-FR"/>
              </w:rPr>
            </w:pPr>
            <w:r w:rsidRPr="00EB35C8">
              <w:rPr>
                <w:b/>
                <w:bCs/>
                <w:color w:val="000000" w:themeColor="text1"/>
                <w:kern w:val="22"/>
                <w:szCs w:val="22"/>
                <w:lang w:val="fr-FR"/>
              </w:rPr>
              <w:t xml:space="preserve">Postes professionnels et supérieurs </w:t>
            </w:r>
          </w:p>
        </w:tc>
        <w:tc>
          <w:tcPr>
            <w:tcW w:w="2060" w:type="dxa"/>
            <w:tcBorders>
              <w:top w:val="nil"/>
              <w:left w:val="nil"/>
              <w:bottom w:val="nil"/>
              <w:right w:val="nil"/>
            </w:tcBorders>
            <w:shd w:val="clear" w:color="auto" w:fill="auto"/>
            <w:vAlign w:val="center"/>
            <w:hideMark/>
          </w:tcPr>
          <w:p w14:paraId="2DC4E9EF" w14:textId="77777777" w:rsidR="00C302BB" w:rsidRPr="00EB35C8" w:rsidRDefault="00C302BB" w:rsidP="000322A9">
            <w:pPr>
              <w:keepNext/>
              <w:rPr>
                <w:b/>
                <w:bCs/>
                <w:color w:val="000000" w:themeColor="text1"/>
                <w:kern w:val="22"/>
                <w:szCs w:val="22"/>
              </w:rPr>
            </w:pPr>
          </w:p>
        </w:tc>
        <w:tc>
          <w:tcPr>
            <w:tcW w:w="2250" w:type="dxa"/>
            <w:tcBorders>
              <w:top w:val="nil"/>
              <w:left w:val="nil"/>
              <w:bottom w:val="nil"/>
              <w:right w:val="nil"/>
            </w:tcBorders>
            <w:shd w:val="clear" w:color="auto" w:fill="auto"/>
            <w:vAlign w:val="center"/>
            <w:hideMark/>
          </w:tcPr>
          <w:p w14:paraId="764F416D" w14:textId="77777777" w:rsidR="00C302BB" w:rsidRPr="00EB35C8" w:rsidRDefault="00C302BB" w:rsidP="000322A9">
            <w:pPr>
              <w:keepNext/>
              <w:rPr>
                <w:color w:val="000000" w:themeColor="text1"/>
                <w:kern w:val="22"/>
                <w:szCs w:val="22"/>
              </w:rPr>
            </w:pPr>
          </w:p>
        </w:tc>
        <w:tc>
          <w:tcPr>
            <w:tcW w:w="1890" w:type="dxa"/>
            <w:tcBorders>
              <w:top w:val="nil"/>
              <w:left w:val="nil"/>
              <w:bottom w:val="nil"/>
              <w:right w:val="nil"/>
            </w:tcBorders>
          </w:tcPr>
          <w:p w14:paraId="72DDD255" w14:textId="77777777" w:rsidR="00C302BB" w:rsidRPr="00EB35C8" w:rsidRDefault="00C302BB" w:rsidP="000322A9">
            <w:pPr>
              <w:keepNext/>
              <w:rPr>
                <w:color w:val="000000" w:themeColor="text1"/>
                <w:kern w:val="22"/>
                <w:szCs w:val="22"/>
              </w:rPr>
            </w:pPr>
          </w:p>
        </w:tc>
      </w:tr>
      <w:tr w:rsidR="00C302BB" w:rsidRPr="00EB35C8" w14:paraId="36EFE52A" w14:textId="42DB0954" w:rsidTr="00EB35C8">
        <w:trPr>
          <w:trHeight w:val="288"/>
          <w:jc w:val="center"/>
        </w:trPr>
        <w:tc>
          <w:tcPr>
            <w:tcW w:w="2800" w:type="dxa"/>
            <w:tcBorders>
              <w:top w:val="nil"/>
              <w:left w:val="nil"/>
              <w:bottom w:val="nil"/>
              <w:right w:val="nil"/>
            </w:tcBorders>
            <w:shd w:val="clear" w:color="auto" w:fill="auto"/>
            <w:vAlign w:val="center"/>
            <w:hideMark/>
          </w:tcPr>
          <w:p w14:paraId="317E0420" w14:textId="77777777" w:rsidR="00C302BB" w:rsidRPr="00EB35C8" w:rsidRDefault="00C302BB" w:rsidP="007763A4">
            <w:pPr>
              <w:rPr>
                <w:color w:val="000000" w:themeColor="text1"/>
                <w:kern w:val="22"/>
                <w:szCs w:val="22"/>
              </w:rPr>
            </w:pPr>
            <w:r w:rsidRPr="00EB35C8">
              <w:rPr>
                <w:color w:val="000000" w:themeColor="text1"/>
                <w:kern w:val="22"/>
                <w:szCs w:val="22"/>
              </w:rPr>
              <w:t>ASG</w:t>
            </w:r>
          </w:p>
        </w:tc>
        <w:tc>
          <w:tcPr>
            <w:tcW w:w="2060" w:type="dxa"/>
            <w:tcBorders>
              <w:top w:val="nil"/>
              <w:left w:val="nil"/>
              <w:bottom w:val="nil"/>
              <w:right w:val="nil"/>
            </w:tcBorders>
            <w:shd w:val="clear" w:color="auto" w:fill="auto"/>
            <w:vAlign w:val="center"/>
            <w:hideMark/>
          </w:tcPr>
          <w:p w14:paraId="4A711365" w14:textId="77777777" w:rsidR="00C302BB" w:rsidRPr="00EB35C8" w:rsidRDefault="00C302BB" w:rsidP="007763A4">
            <w:pPr>
              <w:jc w:val="right"/>
              <w:rPr>
                <w:color w:val="000000" w:themeColor="text1"/>
                <w:kern w:val="22"/>
                <w:szCs w:val="22"/>
              </w:rPr>
            </w:pPr>
            <w:r w:rsidRPr="00EB35C8">
              <w:rPr>
                <w:color w:val="000000" w:themeColor="text1"/>
                <w:kern w:val="22"/>
                <w:szCs w:val="22"/>
              </w:rPr>
              <w:t>1</w:t>
            </w:r>
          </w:p>
        </w:tc>
        <w:tc>
          <w:tcPr>
            <w:tcW w:w="2250" w:type="dxa"/>
            <w:tcBorders>
              <w:top w:val="nil"/>
              <w:left w:val="nil"/>
              <w:bottom w:val="nil"/>
              <w:right w:val="nil"/>
            </w:tcBorders>
            <w:shd w:val="clear" w:color="auto" w:fill="auto"/>
            <w:vAlign w:val="center"/>
            <w:hideMark/>
          </w:tcPr>
          <w:p w14:paraId="6F01E660" w14:textId="77777777" w:rsidR="00C302BB" w:rsidRPr="00EB35C8" w:rsidRDefault="00C302BB" w:rsidP="007763A4">
            <w:pPr>
              <w:jc w:val="right"/>
              <w:rPr>
                <w:color w:val="000000" w:themeColor="text1"/>
                <w:kern w:val="22"/>
                <w:szCs w:val="22"/>
              </w:rPr>
            </w:pPr>
            <w:r w:rsidRPr="00EB35C8">
              <w:rPr>
                <w:color w:val="000000" w:themeColor="text1"/>
                <w:kern w:val="22"/>
                <w:szCs w:val="22"/>
              </w:rPr>
              <w:t>1</w:t>
            </w:r>
          </w:p>
        </w:tc>
        <w:tc>
          <w:tcPr>
            <w:tcW w:w="1890" w:type="dxa"/>
            <w:tcBorders>
              <w:top w:val="nil"/>
              <w:left w:val="nil"/>
              <w:bottom w:val="nil"/>
              <w:right w:val="nil"/>
            </w:tcBorders>
          </w:tcPr>
          <w:p w14:paraId="6801BE7E" w14:textId="52E5793C" w:rsidR="00C302BB" w:rsidRPr="00EB35C8" w:rsidRDefault="00C302BB" w:rsidP="007763A4">
            <w:pPr>
              <w:jc w:val="right"/>
              <w:rPr>
                <w:color w:val="000000" w:themeColor="text1"/>
                <w:kern w:val="22"/>
                <w:szCs w:val="22"/>
              </w:rPr>
            </w:pPr>
            <w:r w:rsidRPr="00EB35C8">
              <w:rPr>
                <w:color w:val="000000" w:themeColor="text1"/>
                <w:kern w:val="22"/>
                <w:szCs w:val="22"/>
              </w:rPr>
              <w:t>-</w:t>
            </w:r>
          </w:p>
        </w:tc>
      </w:tr>
      <w:tr w:rsidR="00C302BB" w:rsidRPr="00EB35C8" w14:paraId="76E1F209" w14:textId="25F5E5F4" w:rsidTr="00EB35C8">
        <w:trPr>
          <w:trHeight w:val="288"/>
          <w:jc w:val="center"/>
        </w:trPr>
        <w:tc>
          <w:tcPr>
            <w:tcW w:w="2800" w:type="dxa"/>
            <w:tcBorders>
              <w:top w:val="nil"/>
              <w:left w:val="nil"/>
              <w:bottom w:val="nil"/>
              <w:right w:val="nil"/>
            </w:tcBorders>
            <w:shd w:val="clear" w:color="auto" w:fill="auto"/>
            <w:vAlign w:val="center"/>
            <w:hideMark/>
          </w:tcPr>
          <w:p w14:paraId="669D4665" w14:textId="77777777" w:rsidR="00C302BB" w:rsidRPr="00EB35C8" w:rsidRDefault="00C302BB" w:rsidP="007763A4">
            <w:pPr>
              <w:rPr>
                <w:color w:val="000000" w:themeColor="text1"/>
                <w:kern w:val="22"/>
                <w:szCs w:val="22"/>
              </w:rPr>
            </w:pPr>
            <w:r w:rsidRPr="00EB35C8">
              <w:rPr>
                <w:color w:val="000000" w:themeColor="text1"/>
                <w:kern w:val="22"/>
                <w:szCs w:val="22"/>
              </w:rPr>
              <w:t>D-1</w:t>
            </w:r>
          </w:p>
        </w:tc>
        <w:tc>
          <w:tcPr>
            <w:tcW w:w="2060" w:type="dxa"/>
            <w:tcBorders>
              <w:top w:val="nil"/>
              <w:left w:val="nil"/>
              <w:bottom w:val="nil"/>
              <w:right w:val="nil"/>
            </w:tcBorders>
            <w:shd w:val="clear" w:color="auto" w:fill="auto"/>
            <w:vAlign w:val="center"/>
            <w:hideMark/>
          </w:tcPr>
          <w:p w14:paraId="3AA27AB7" w14:textId="77777777" w:rsidR="00C302BB" w:rsidRPr="00EB35C8" w:rsidRDefault="00C302BB" w:rsidP="007763A4">
            <w:pPr>
              <w:jc w:val="right"/>
              <w:rPr>
                <w:color w:val="000000" w:themeColor="text1"/>
                <w:kern w:val="22"/>
                <w:szCs w:val="22"/>
              </w:rPr>
            </w:pPr>
            <w:r w:rsidRPr="00EB35C8">
              <w:rPr>
                <w:color w:val="000000" w:themeColor="text1"/>
                <w:kern w:val="22"/>
                <w:szCs w:val="22"/>
              </w:rPr>
              <w:t>3</w:t>
            </w:r>
          </w:p>
        </w:tc>
        <w:tc>
          <w:tcPr>
            <w:tcW w:w="2250" w:type="dxa"/>
            <w:tcBorders>
              <w:top w:val="nil"/>
              <w:left w:val="nil"/>
              <w:bottom w:val="nil"/>
              <w:right w:val="nil"/>
            </w:tcBorders>
            <w:shd w:val="clear" w:color="auto" w:fill="auto"/>
            <w:vAlign w:val="center"/>
            <w:hideMark/>
          </w:tcPr>
          <w:p w14:paraId="064A9926" w14:textId="77777777" w:rsidR="00C302BB" w:rsidRPr="00EB35C8" w:rsidRDefault="00C302BB" w:rsidP="007763A4">
            <w:pPr>
              <w:jc w:val="right"/>
              <w:rPr>
                <w:color w:val="000000" w:themeColor="text1"/>
                <w:kern w:val="22"/>
                <w:szCs w:val="22"/>
              </w:rPr>
            </w:pPr>
            <w:r w:rsidRPr="00EB35C8">
              <w:rPr>
                <w:color w:val="000000" w:themeColor="text1"/>
                <w:kern w:val="22"/>
                <w:szCs w:val="22"/>
              </w:rPr>
              <w:t>3</w:t>
            </w:r>
          </w:p>
        </w:tc>
        <w:tc>
          <w:tcPr>
            <w:tcW w:w="1890" w:type="dxa"/>
            <w:tcBorders>
              <w:top w:val="nil"/>
              <w:left w:val="nil"/>
              <w:bottom w:val="nil"/>
              <w:right w:val="nil"/>
            </w:tcBorders>
          </w:tcPr>
          <w:p w14:paraId="658396FB" w14:textId="4868D387" w:rsidR="00C302BB" w:rsidRPr="00EB35C8" w:rsidRDefault="00C302BB" w:rsidP="007763A4">
            <w:pPr>
              <w:jc w:val="right"/>
              <w:rPr>
                <w:color w:val="000000" w:themeColor="text1"/>
                <w:kern w:val="22"/>
                <w:szCs w:val="22"/>
              </w:rPr>
            </w:pPr>
            <w:r w:rsidRPr="00EB35C8">
              <w:rPr>
                <w:color w:val="000000" w:themeColor="text1"/>
                <w:kern w:val="22"/>
                <w:szCs w:val="22"/>
              </w:rPr>
              <w:t>-</w:t>
            </w:r>
          </w:p>
        </w:tc>
      </w:tr>
      <w:tr w:rsidR="00C302BB" w:rsidRPr="00EB35C8" w14:paraId="6E6810E3" w14:textId="0444171E" w:rsidTr="00EB35C8">
        <w:trPr>
          <w:trHeight w:val="288"/>
          <w:jc w:val="center"/>
        </w:trPr>
        <w:tc>
          <w:tcPr>
            <w:tcW w:w="2800" w:type="dxa"/>
            <w:tcBorders>
              <w:top w:val="nil"/>
              <w:left w:val="nil"/>
              <w:bottom w:val="nil"/>
              <w:right w:val="nil"/>
            </w:tcBorders>
            <w:shd w:val="clear" w:color="auto" w:fill="auto"/>
            <w:vAlign w:val="center"/>
            <w:hideMark/>
          </w:tcPr>
          <w:p w14:paraId="550F3C0E" w14:textId="77777777" w:rsidR="00C302BB" w:rsidRPr="00EB35C8" w:rsidRDefault="00C302BB" w:rsidP="007763A4">
            <w:pPr>
              <w:rPr>
                <w:color w:val="000000" w:themeColor="text1"/>
                <w:kern w:val="22"/>
                <w:szCs w:val="22"/>
              </w:rPr>
            </w:pPr>
            <w:r w:rsidRPr="00EB35C8">
              <w:rPr>
                <w:color w:val="000000" w:themeColor="text1"/>
                <w:kern w:val="22"/>
                <w:szCs w:val="22"/>
              </w:rPr>
              <w:t>P-5</w:t>
            </w:r>
          </w:p>
        </w:tc>
        <w:tc>
          <w:tcPr>
            <w:tcW w:w="2060" w:type="dxa"/>
            <w:tcBorders>
              <w:top w:val="nil"/>
              <w:left w:val="nil"/>
              <w:bottom w:val="nil"/>
              <w:right w:val="nil"/>
            </w:tcBorders>
            <w:shd w:val="clear" w:color="auto" w:fill="auto"/>
            <w:vAlign w:val="center"/>
            <w:hideMark/>
          </w:tcPr>
          <w:p w14:paraId="447FB76F" w14:textId="77777777" w:rsidR="00C302BB" w:rsidRPr="00EB35C8" w:rsidRDefault="00C302BB" w:rsidP="007763A4">
            <w:pPr>
              <w:jc w:val="right"/>
              <w:rPr>
                <w:color w:val="000000" w:themeColor="text1"/>
                <w:kern w:val="22"/>
                <w:szCs w:val="22"/>
              </w:rPr>
            </w:pPr>
            <w:r w:rsidRPr="00EB35C8">
              <w:rPr>
                <w:color w:val="000000" w:themeColor="text1"/>
                <w:kern w:val="22"/>
                <w:szCs w:val="22"/>
              </w:rPr>
              <w:t>10</w:t>
            </w:r>
          </w:p>
        </w:tc>
        <w:tc>
          <w:tcPr>
            <w:tcW w:w="2250" w:type="dxa"/>
            <w:tcBorders>
              <w:top w:val="nil"/>
              <w:left w:val="nil"/>
              <w:bottom w:val="nil"/>
              <w:right w:val="nil"/>
            </w:tcBorders>
            <w:shd w:val="clear" w:color="auto" w:fill="auto"/>
            <w:vAlign w:val="center"/>
            <w:hideMark/>
          </w:tcPr>
          <w:p w14:paraId="72ACE8B3" w14:textId="77777777" w:rsidR="00C302BB" w:rsidRPr="00EB35C8" w:rsidRDefault="00C302BB" w:rsidP="007763A4">
            <w:pPr>
              <w:jc w:val="right"/>
              <w:rPr>
                <w:color w:val="000000" w:themeColor="text1"/>
                <w:kern w:val="22"/>
                <w:szCs w:val="22"/>
              </w:rPr>
            </w:pPr>
            <w:r w:rsidRPr="00EB35C8">
              <w:rPr>
                <w:color w:val="000000" w:themeColor="text1"/>
                <w:kern w:val="22"/>
                <w:szCs w:val="22"/>
              </w:rPr>
              <w:t>10</w:t>
            </w:r>
          </w:p>
        </w:tc>
        <w:tc>
          <w:tcPr>
            <w:tcW w:w="1890" w:type="dxa"/>
            <w:tcBorders>
              <w:top w:val="nil"/>
              <w:left w:val="nil"/>
              <w:bottom w:val="nil"/>
              <w:right w:val="nil"/>
            </w:tcBorders>
          </w:tcPr>
          <w:p w14:paraId="43379E02" w14:textId="7887CEFC" w:rsidR="00C302BB" w:rsidRPr="00EB35C8" w:rsidRDefault="00C302BB" w:rsidP="007763A4">
            <w:pPr>
              <w:jc w:val="right"/>
              <w:rPr>
                <w:color w:val="000000" w:themeColor="text1"/>
                <w:kern w:val="22"/>
                <w:szCs w:val="22"/>
              </w:rPr>
            </w:pPr>
            <w:r w:rsidRPr="00EB35C8">
              <w:rPr>
                <w:color w:val="000000" w:themeColor="text1"/>
                <w:kern w:val="22"/>
                <w:szCs w:val="22"/>
              </w:rPr>
              <w:t>-</w:t>
            </w:r>
          </w:p>
        </w:tc>
      </w:tr>
      <w:tr w:rsidR="00C302BB" w:rsidRPr="00EB35C8" w14:paraId="1205E80A" w14:textId="47B590D6" w:rsidTr="00EB35C8">
        <w:trPr>
          <w:trHeight w:val="288"/>
          <w:jc w:val="center"/>
        </w:trPr>
        <w:tc>
          <w:tcPr>
            <w:tcW w:w="2800" w:type="dxa"/>
            <w:tcBorders>
              <w:top w:val="nil"/>
              <w:left w:val="nil"/>
              <w:bottom w:val="nil"/>
              <w:right w:val="nil"/>
            </w:tcBorders>
            <w:shd w:val="clear" w:color="auto" w:fill="auto"/>
            <w:vAlign w:val="center"/>
            <w:hideMark/>
          </w:tcPr>
          <w:p w14:paraId="295CCA07" w14:textId="77777777" w:rsidR="00C302BB" w:rsidRPr="00EB35C8" w:rsidRDefault="00C302BB" w:rsidP="007763A4">
            <w:pPr>
              <w:rPr>
                <w:color w:val="000000" w:themeColor="text1"/>
                <w:kern w:val="22"/>
                <w:szCs w:val="22"/>
              </w:rPr>
            </w:pPr>
            <w:r w:rsidRPr="00EB35C8">
              <w:rPr>
                <w:color w:val="000000" w:themeColor="text1"/>
                <w:kern w:val="22"/>
                <w:szCs w:val="22"/>
              </w:rPr>
              <w:t>P-4</w:t>
            </w:r>
          </w:p>
        </w:tc>
        <w:tc>
          <w:tcPr>
            <w:tcW w:w="2060" w:type="dxa"/>
            <w:tcBorders>
              <w:top w:val="nil"/>
              <w:left w:val="nil"/>
              <w:bottom w:val="nil"/>
              <w:right w:val="nil"/>
            </w:tcBorders>
            <w:shd w:val="clear" w:color="auto" w:fill="auto"/>
            <w:vAlign w:val="center"/>
            <w:hideMark/>
          </w:tcPr>
          <w:p w14:paraId="67BF483B" w14:textId="77777777" w:rsidR="00C302BB" w:rsidRPr="00EB35C8" w:rsidRDefault="00C302BB" w:rsidP="007763A4">
            <w:pPr>
              <w:jc w:val="right"/>
              <w:rPr>
                <w:color w:val="000000" w:themeColor="text1"/>
                <w:kern w:val="22"/>
                <w:szCs w:val="22"/>
              </w:rPr>
            </w:pPr>
            <w:r w:rsidRPr="00EB35C8">
              <w:rPr>
                <w:color w:val="000000" w:themeColor="text1"/>
                <w:kern w:val="22"/>
                <w:szCs w:val="22"/>
              </w:rPr>
              <w:t>12</w:t>
            </w:r>
          </w:p>
        </w:tc>
        <w:tc>
          <w:tcPr>
            <w:tcW w:w="2250" w:type="dxa"/>
            <w:tcBorders>
              <w:top w:val="nil"/>
              <w:left w:val="nil"/>
              <w:bottom w:val="nil"/>
              <w:right w:val="nil"/>
            </w:tcBorders>
            <w:shd w:val="clear" w:color="auto" w:fill="auto"/>
            <w:vAlign w:val="center"/>
            <w:hideMark/>
          </w:tcPr>
          <w:p w14:paraId="3042E989" w14:textId="77777777" w:rsidR="00C302BB" w:rsidRPr="00EB35C8" w:rsidRDefault="00C302BB" w:rsidP="007763A4">
            <w:pPr>
              <w:jc w:val="right"/>
              <w:rPr>
                <w:color w:val="000000" w:themeColor="text1"/>
                <w:kern w:val="22"/>
                <w:szCs w:val="22"/>
              </w:rPr>
            </w:pPr>
            <w:r w:rsidRPr="00EB35C8">
              <w:rPr>
                <w:color w:val="000000" w:themeColor="text1"/>
                <w:kern w:val="22"/>
                <w:szCs w:val="22"/>
              </w:rPr>
              <w:t>12</w:t>
            </w:r>
          </w:p>
        </w:tc>
        <w:tc>
          <w:tcPr>
            <w:tcW w:w="1890" w:type="dxa"/>
            <w:tcBorders>
              <w:top w:val="nil"/>
              <w:left w:val="nil"/>
              <w:bottom w:val="nil"/>
              <w:right w:val="nil"/>
            </w:tcBorders>
          </w:tcPr>
          <w:p w14:paraId="1B8240FB" w14:textId="0D1C9DCC" w:rsidR="00C302BB" w:rsidRPr="00EB35C8" w:rsidRDefault="00C302BB" w:rsidP="007763A4">
            <w:pPr>
              <w:jc w:val="right"/>
              <w:rPr>
                <w:color w:val="000000" w:themeColor="text1"/>
                <w:kern w:val="22"/>
                <w:szCs w:val="22"/>
              </w:rPr>
            </w:pPr>
            <w:r w:rsidRPr="00EB35C8">
              <w:rPr>
                <w:color w:val="000000" w:themeColor="text1"/>
                <w:kern w:val="22"/>
                <w:szCs w:val="22"/>
              </w:rPr>
              <w:t>-</w:t>
            </w:r>
          </w:p>
        </w:tc>
      </w:tr>
      <w:tr w:rsidR="00C302BB" w:rsidRPr="00EB35C8" w14:paraId="75113981" w14:textId="6F038B7D" w:rsidTr="00EB35C8">
        <w:trPr>
          <w:trHeight w:val="288"/>
          <w:jc w:val="center"/>
        </w:trPr>
        <w:tc>
          <w:tcPr>
            <w:tcW w:w="2800" w:type="dxa"/>
            <w:tcBorders>
              <w:top w:val="nil"/>
              <w:left w:val="nil"/>
              <w:bottom w:val="nil"/>
              <w:right w:val="nil"/>
            </w:tcBorders>
            <w:shd w:val="clear" w:color="auto" w:fill="auto"/>
            <w:vAlign w:val="center"/>
            <w:hideMark/>
          </w:tcPr>
          <w:p w14:paraId="07A3951D" w14:textId="77777777" w:rsidR="00C302BB" w:rsidRPr="00EB35C8" w:rsidRDefault="00C302BB" w:rsidP="007763A4">
            <w:pPr>
              <w:rPr>
                <w:color w:val="000000" w:themeColor="text1"/>
                <w:kern w:val="22"/>
                <w:szCs w:val="22"/>
              </w:rPr>
            </w:pPr>
            <w:r w:rsidRPr="00EB35C8">
              <w:rPr>
                <w:color w:val="000000" w:themeColor="text1"/>
                <w:kern w:val="22"/>
                <w:szCs w:val="22"/>
              </w:rPr>
              <w:t>P-3</w:t>
            </w:r>
          </w:p>
        </w:tc>
        <w:tc>
          <w:tcPr>
            <w:tcW w:w="2060" w:type="dxa"/>
            <w:tcBorders>
              <w:top w:val="nil"/>
              <w:left w:val="nil"/>
              <w:bottom w:val="nil"/>
              <w:right w:val="nil"/>
            </w:tcBorders>
            <w:shd w:val="clear" w:color="auto" w:fill="auto"/>
            <w:vAlign w:val="center"/>
            <w:hideMark/>
          </w:tcPr>
          <w:p w14:paraId="299C25F8" w14:textId="77777777" w:rsidR="00C302BB" w:rsidRPr="00EB35C8" w:rsidRDefault="00C302BB" w:rsidP="007763A4">
            <w:pPr>
              <w:jc w:val="right"/>
              <w:rPr>
                <w:color w:val="000000" w:themeColor="text1"/>
                <w:kern w:val="22"/>
                <w:szCs w:val="22"/>
              </w:rPr>
            </w:pPr>
            <w:r w:rsidRPr="00EB35C8">
              <w:rPr>
                <w:color w:val="000000" w:themeColor="text1"/>
                <w:kern w:val="22"/>
                <w:szCs w:val="22"/>
              </w:rPr>
              <w:t>14</w:t>
            </w:r>
          </w:p>
        </w:tc>
        <w:tc>
          <w:tcPr>
            <w:tcW w:w="2250" w:type="dxa"/>
            <w:tcBorders>
              <w:top w:val="nil"/>
              <w:left w:val="nil"/>
              <w:bottom w:val="nil"/>
              <w:right w:val="nil"/>
            </w:tcBorders>
            <w:shd w:val="clear" w:color="auto" w:fill="auto"/>
            <w:vAlign w:val="center"/>
            <w:hideMark/>
          </w:tcPr>
          <w:p w14:paraId="666969EB" w14:textId="77777777" w:rsidR="00C302BB" w:rsidRPr="00EB35C8" w:rsidRDefault="00C302BB" w:rsidP="007763A4">
            <w:pPr>
              <w:jc w:val="right"/>
              <w:rPr>
                <w:color w:val="000000" w:themeColor="text1"/>
                <w:kern w:val="22"/>
                <w:szCs w:val="22"/>
              </w:rPr>
            </w:pPr>
            <w:r w:rsidRPr="00EB35C8">
              <w:rPr>
                <w:color w:val="000000" w:themeColor="text1"/>
                <w:kern w:val="22"/>
                <w:szCs w:val="22"/>
              </w:rPr>
              <w:t>14</w:t>
            </w:r>
          </w:p>
        </w:tc>
        <w:tc>
          <w:tcPr>
            <w:tcW w:w="1890" w:type="dxa"/>
            <w:tcBorders>
              <w:top w:val="nil"/>
              <w:left w:val="nil"/>
              <w:bottom w:val="nil"/>
              <w:right w:val="nil"/>
            </w:tcBorders>
          </w:tcPr>
          <w:p w14:paraId="760B1DFD" w14:textId="1DDE6584" w:rsidR="00C302BB" w:rsidRPr="00EB35C8" w:rsidRDefault="00C302BB" w:rsidP="007763A4">
            <w:pPr>
              <w:jc w:val="right"/>
              <w:rPr>
                <w:color w:val="000000" w:themeColor="text1"/>
                <w:kern w:val="22"/>
                <w:szCs w:val="22"/>
              </w:rPr>
            </w:pPr>
            <w:r w:rsidRPr="00EB35C8">
              <w:rPr>
                <w:color w:val="000000" w:themeColor="text1"/>
                <w:kern w:val="22"/>
                <w:szCs w:val="22"/>
              </w:rPr>
              <w:t>-</w:t>
            </w:r>
          </w:p>
        </w:tc>
      </w:tr>
      <w:tr w:rsidR="00C302BB" w:rsidRPr="00EB35C8" w14:paraId="122322CE" w14:textId="238A5C30" w:rsidTr="00EB35C8">
        <w:trPr>
          <w:trHeight w:val="300"/>
          <w:jc w:val="center"/>
        </w:trPr>
        <w:tc>
          <w:tcPr>
            <w:tcW w:w="2800" w:type="dxa"/>
            <w:tcBorders>
              <w:top w:val="nil"/>
              <w:left w:val="nil"/>
              <w:bottom w:val="nil"/>
              <w:right w:val="nil"/>
            </w:tcBorders>
            <w:shd w:val="clear" w:color="auto" w:fill="auto"/>
            <w:vAlign w:val="center"/>
            <w:hideMark/>
          </w:tcPr>
          <w:p w14:paraId="30D8019A" w14:textId="77777777" w:rsidR="00C302BB" w:rsidRPr="00EB35C8" w:rsidRDefault="00C302BB" w:rsidP="007763A4">
            <w:pPr>
              <w:rPr>
                <w:color w:val="000000" w:themeColor="text1"/>
                <w:kern w:val="22"/>
                <w:szCs w:val="22"/>
              </w:rPr>
            </w:pPr>
            <w:r w:rsidRPr="00EB35C8">
              <w:rPr>
                <w:color w:val="000000" w:themeColor="text1"/>
                <w:kern w:val="22"/>
                <w:szCs w:val="22"/>
              </w:rPr>
              <w:t>P-2/1</w:t>
            </w:r>
          </w:p>
        </w:tc>
        <w:tc>
          <w:tcPr>
            <w:tcW w:w="2060" w:type="dxa"/>
            <w:tcBorders>
              <w:top w:val="nil"/>
              <w:left w:val="nil"/>
              <w:bottom w:val="nil"/>
              <w:right w:val="nil"/>
            </w:tcBorders>
            <w:shd w:val="clear" w:color="auto" w:fill="auto"/>
            <w:vAlign w:val="center"/>
            <w:hideMark/>
          </w:tcPr>
          <w:p w14:paraId="69C22E9C" w14:textId="77777777" w:rsidR="00C302BB" w:rsidRPr="00EB35C8" w:rsidRDefault="00C302BB" w:rsidP="007763A4">
            <w:pPr>
              <w:jc w:val="right"/>
              <w:rPr>
                <w:color w:val="000000" w:themeColor="text1"/>
                <w:kern w:val="22"/>
                <w:szCs w:val="22"/>
              </w:rPr>
            </w:pPr>
            <w:r w:rsidRPr="00EB35C8">
              <w:rPr>
                <w:color w:val="000000" w:themeColor="text1"/>
                <w:kern w:val="22"/>
                <w:szCs w:val="22"/>
              </w:rPr>
              <w:t>9</w:t>
            </w:r>
          </w:p>
        </w:tc>
        <w:tc>
          <w:tcPr>
            <w:tcW w:w="2250" w:type="dxa"/>
            <w:tcBorders>
              <w:top w:val="nil"/>
              <w:left w:val="nil"/>
              <w:bottom w:val="nil"/>
              <w:right w:val="nil"/>
            </w:tcBorders>
            <w:shd w:val="clear" w:color="auto" w:fill="auto"/>
            <w:vAlign w:val="center"/>
            <w:hideMark/>
          </w:tcPr>
          <w:p w14:paraId="59830351" w14:textId="77777777" w:rsidR="00C302BB" w:rsidRPr="00EB35C8" w:rsidRDefault="00C302BB" w:rsidP="007763A4">
            <w:pPr>
              <w:jc w:val="right"/>
              <w:rPr>
                <w:color w:val="000000" w:themeColor="text1"/>
                <w:kern w:val="22"/>
                <w:szCs w:val="22"/>
              </w:rPr>
            </w:pPr>
            <w:r w:rsidRPr="00EB35C8">
              <w:rPr>
                <w:color w:val="000000" w:themeColor="text1"/>
                <w:kern w:val="22"/>
                <w:szCs w:val="22"/>
              </w:rPr>
              <w:t>9</w:t>
            </w:r>
          </w:p>
        </w:tc>
        <w:tc>
          <w:tcPr>
            <w:tcW w:w="1890" w:type="dxa"/>
            <w:tcBorders>
              <w:top w:val="nil"/>
              <w:left w:val="nil"/>
              <w:bottom w:val="nil"/>
              <w:right w:val="nil"/>
            </w:tcBorders>
          </w:tcPr>
          <w:p w14:paraId="0DFF58DC" w14:textId="77E93A96" w:rsidR="00C302BB" w:rsidRPr="00EB35C8" w:rsidRDefault="00C302BB" w:rsidP="007763A4">
            <w:pPr>
              <w:jc w:val="right"/>
              <w:rPr>
                <w:color w:val="000000" w:themeColor="text1"/>
                <w:kern w:val="22"/>
                <w:szCs w:val="22"/>
              </w:rPr>
            </w:pPr>
            <w:r w:rsidRPr="00EB35C8">
              <w:rPr>
                <w:color w:val="000000" w:themeColor="text1"/>
                <w:kern w:val="22"/>
                <w:szCs w:val="22"/>
              </w:rPr>
              <w:t>-</w:t>
            </w:r>
          </w:p>
        </w:tc>
      </w:tr>
      <w:tr w:rsidR="00C302BB" w:rsidRPr="00EB35C8" w14:paraId="1C826BF3" w14:textId="1800A4F9" w:rsidTr="00EB35C8">
        <w:trPr>
          <w:trHeight w:val="300"/>
          <w:jc w:val="center"/>
        </w:trPr>
        <w:tc>
          <w:tcPr>
            <w:tcW w:w="2800" w:type="dxa"/>
            <w:tcBorders>
              <w:top w:val="single" w:sz="8" w:space="0" w:color="auto"/>
              <w:left w:val="nil"/>
              <w:bottom w:val="single" w:sz="8" w:space="0" w:color="auto"/>
              <w:right w:val="nil"/>
            </w:tcBorders>
            <w:shd w:val="clear" w:color="auto" w:fill="auto"/>
            <w:vAlign w:val="center"/>
            <w:hideMark/>
          </w:tcPr>
          <w:p w14:paraId="68FAED49" w14:textId="71361B07" w:rsidR="00C302BB" w:rsidRPr="00EB35C8" w:rsidRDefault="00C302BB" w:rsidP="007763A4">
            <w:pPr>
              <w:rPr>
                <w:b/>
                <w:bCs/>
                <w:color w:val="000000" w:themeColor="text1"/>
                <w:kern w:val="22"/>
                <w:szCs w:val="22"/>
              </w:rPr>
            </w:pPr>
            <w:r w:rsidRPr="00EB35C8">
              <w:rPr>
                <w:b/>
                <w:bCs/>
                <w:color w:val="000000" w:themeColor="text1"/>
                <w:kern w:val="22"/>
                <w:szCs w:val="22"/>
              </w:rPr>
              <w:t>S</w:t>
            </w:r>
            <w:r w:rsidR="006D2B32" w:rsidRPr="00EB35C8">
              <w:rPr>
                <w:b/>
                <w:bCs/>
                <w:color w:val="000000" w:themeColor="text1"/>
                <w:kern w:val="22"/>
                <w:szCs w:val="22"/>
              </w:rPr>
              <w:t>ous-total</w:t>
            </w:r>
          </w:p>
        </w:tc>
        <w:tc>
          <w:tcPr>
            <w:tcW w:w="2060" w:type="dxa"/>
            <w:tcBorders>
              <w:top w:val="single" w:sz="8" w:space="0" w:color="auto"/>
              <w:left w:val="nil"/>
              <w:bottom w:val="single" w:sz="8" w:space="0" w:color="auto"/>
              <w:right w:val="nil"/>
            </w:tcBorders>
            <w:shd w:val="clear" w:color="auto" w:fill="auto"/>
            <w:vAlign w:val="center"/>
            <w:hideMark/>
          </w:tcPr>
          <w:p w14:paraId="7D6DE90D" w14:textId="77777777" w:rsidR="00C302BB" w:rsidRPr="00EB35C8" w:rsidRDefault="00C302BB" w:rsidP="007763A4">
            <w:pPr>
              <w:jc w:val="right"/>
              <w:rPr>
                <w:b/>
                <w:bCs/>
                <w:color w:val="000000" w:themeColor="text1"/>
                <w:kern w:val="22"/>
                <w:szCs w:val="22"/>
              </w:rPr>
            </w:pPr>
            <w:r w:rsidRPr="00EB35C8">
              <w:rPr>
                <w:b/>
                <w:bCs/>
                <w:color w:val="000000" w:themeColor="text1"/>
                <w:kern w:val="22"/>
                <w:szCs w:val="22"/>
              </w:rPr>
              <w:t>49</w:t>
            </w:r>
          </w:p>
        </w:tc>
        <w:tc>
          <w:tcPr>
            <w:tcW w:w="2250" w:type="dxa"/>
            <w:tcBorders>
              <w:top w:val="single" w:sz="8" w:space="0" w:color="auto"/>
              <w:left w:val="nil"/>
              <w:bottom w:val="single" w:sz="8" w:space="0" w:color="auto"/>
              <w:right w:val="nil"/>
            </w:tcBorders>
            <w:shd w:val="clear" w:color="auto" w:fill="auto"/>
            <w:vAlign w:val="center"/>
            <w:hideMark/>
          </w:tcPr>
          <w:p w14:paraId="7C928843" w14:textId="77777777" w:rsidR="00C302BB" w:rsidRPr="00EB35C8" w:rsidRDefault="00C302BB" w:rsidP="007763A4">
            <w:pPr>
              <w:jc w:val="right"/>
              <w:rPr>
                <w:b/>
                <w:bCs/>
                <w:color w:val="000000" w:themeColor="text1"/>
                <w:kern w:val="22"/>
                <w:szCs w:val="22"/>
              </w:rPr>
            </w:pPr>
            <w:r w:rsidRPr="00EB35C8">
              <w:rPr>
                <w:b/>
                <w:bCs/>
                <w:color w:val="000000" w:themeColor="text1"/>
                <w:kern w:val="22"/>
                <w:szCs w:val="22"/>
              </w:rPr>
              <w:t>49</w:t>
            </w:r>
          </w:p>
        </w:tc>
        <w:tc>
          <w:tcPr>
            <w:tcW w:w="1890" w:type="dxa"/>
            <w:tcBorders>
              <w:top w:val="single" w:sz="8" w:space="0" w:color="auto"/>
              <w:left w:val="nil"/>
              <w:bottom w:val="single" w:sz="8" w:space="0" w:color="auto"/>
              <w:right w:val="nil"/>
            </w:tcBorders>
          </w:tcPr>
          <w:p w14:paraId="6BC5AF02" w14:textId="49799131" w:rsidR="00C302BB" w:rsidRPr="00EB35C8" w:rsidRDefault="00C302BB" w:rsidP="007763A4">
            <w:pPr>
              <w:jc w:val="right"/>
              <w:rPr>
                <w:b/>
                <w:bCs/>
                <w:color w:val="000000" w:themeColor="text1"/>
                <w:kern w:val="22"/>
                <w:szCs w:val="22"/>
              </w:rPr>
            </w:pPr>
            <w:r w:rsidRPr="00EB35C8">
              <w:rPr>
                <w:b/>
                <w:bCs/>
                <w:color w:val="000000" w:themeColor="text1"/>
                <w:kern w:val="22"/>
                <w:szCs w:val="22"/>
              </w:rPr>
              <w:t>-</w:t>
            </w:r>
          </w:p>
        </w:tc>
      </w:tr>
      <w:tr w:rsidR="00C302BB" w:rsidRPr="00EB35C8" w14:paraId="3DCC06E9" w14:textId="19D7D5AB" w:rsidTr="00EB35C8">
        <w:trPr>
          <w:trHeight w:val="300"/>
          <w:jc w:val="center"/>
        </w:trPr>
        <w:tc>
          <w:tcPr>
            <w:tcW w:w="2800" w:type="dxa"/>
            <w:tcBorders>
              <w:top w:val="nil"/>
              <w:left w:val="nil"/>
              <w:bottom w:val="single" w:sz="8" w:space="0" w:color="auto"/>
              <w:right w:val="nil"/>
            </w:tcBorders>
            <w:shd w:val="clear" w:color="auto" w:fill="auto"/>
            <w:vAlign w:val="center"/>
            <w:hideMark/>
          </w:tcPr>
          <w:p w14:paraId="52741B9F" w14:textId="0D83DC91" w:rsidR="00C302BB" w:rsidRPr="00EB35C8" w:rsidRDefault="006D2B32" w:rsidP="007763A4">
            <w:pPr>
              <w:rPr>
                <w:b/>
                <w:bCs/>
                <w:color w:val="000000" w:themeColor="text1"/>
                <w:kern w:val="22"/>
                <w:szCs w:val="22"/>
                <w:lang w:val="fr-FR"/>
              </w:rPr>
            </w:pPr>
            <w:r w:rsidRPr="00EB35C8">
              <w:rPr>
                <w:b/>
                <w:bCs/>
                <w:color w:val="000000" w:themeColor="text1"/>
                <w:kern w:val="22"/>
                <w:szCs w:val="22"/>
                <w:lang w:val="fr-FR"/>
              </w:rPr>
              <w:t>Service général</w:t>
            </w:r>
          </w:p>
        </w:tc>
        <w:tc>
          <w:tcPr>
            <w:tcW w:w="2060" w:type="dxa"/>
            <w:tcBorders>
              <w:top w:val="nil"/>
              <w:left w:val="nil"/>
              <w:bottom w:val="single" w:sz="8" w:space="0" w:color="auto"/>
              <w:right w:val="nil"/>
            </w:tcBorders>
            <w:shd w:val="clear" w:color="auto" w:fill="auto"/>
            <w:vAlign w:val="center"/>
            <w:hideMark/>
          </w:tcPr>
          <w:p w14:paraId="4B549481" w14:textId="77777777" w:rsidR="00C302BB" w:rsidRPr="00EB35C8" w:rsidRDefault="00C302BB" w:rsidP="007763A4">
            <w:pPr>
              <w:jc w:val="right"/>
              <w:rPr>
                <w:color w:val="000000" w:themeColor="text1"/>
                <w:kern w:val="22"/>
                <w:szCs w:val="22"/>
              </w:rPr>
            </w:pPr>
            <w:r w:rsidRPr="00EB35C8">
              <w:rPr>
                <w:color w:val="000000" w:themeColor="text1"/>
                <w:kern w:val="22"/>
                <w:szCs w:val="22"/>
              </w:rPr>
              <w:t>29</w:t>
            </w:r>
          </w:p>
        </w:tc>
        <w:tc>
          <w:tcPr>
            <w:tcW w:w="2250" w:type="dxa"/>
            <w:tcBorders>
              <w:top w:val="nil"/>
              <w:left w:val="nil"/>
              <w:bottom w:val="single" w:sz="8" w:space="0" w:color="auto"/>
              <w:right w:val="nil"/>
            </w:tcBorders>
            <w:shd w:val="clear" w:color="auto" w:fill="auto"/>
            <w:vAlign w:val="center"/>
            <w:hideMark/>
          </w:tcPr>
          <w:p w14:paraId="06D1E85E" w14:textId="77777777" w:rsidR="00C302BB" w:rsidRPr="00EB35C8" w:rsidRDefault="00C302BB" w:rsidP="007763A4">
            <w:pPr>
              <w:jc w:val="right"/>
              <w:rPr>
                <w:color w:val="000000" w:themeColor="text1"/>
                <w:kern w:val="22"/>
                <w:szCs w:val="22"/>
              </w:rPr>
            </w:pPr>
            <w:r w:rsidRPr="00EB35C8">
              <w:rPr>
                <w:color w:val="000000" w:themeColor="text1"/>
                <w:kern w:val="22"/>
                <w:szCs w:val="22"/>
              </w:rPr>
              <w:t>29</w:t>
            </w:r>
          </w:p>
        </w:tc>
        <w:tc>
          <w:tcPr>
            <w:tcW w:w="1890" w:type="dxa"/>
            <w:tcBorders>
              <w:top w:val="nil"/>
              <w:left w:val="nil"/>
              <w:bottom w:val="single" w:sz="8" w:space="0" w:color="auto"/>
              <w:right w:val="nil"/>
            </w:tcBorders>
          </w:tcPr>
          <w:p w14:paraId="082CB101" w14:textId="57C3D2A6" w:rsidR="00C302BB" w:rsidRPr="00EB35C8" w:rsidRDefault="00C302BB" w:rsidP="007763A4">
            <w:pPr>
              <w:jc w:val="right"/>
              <w:rPr>
                <w:color w:val="000000" w:themeColor="text1"/>
                <w:kern w:val="22"/>
                <w:szCs w:val="22"/>
              </w:rPr>
            </w:pPr>
            <w:r w:rsidRPr="00EB35C8">
              <w:rPr>
                <w:color w:val="000000" w:themeColor="text1"/>
                <w:kern w:val="22"/>
                <w:szCs w:val="22"/>
              </w:rPr>
              <w:t>-</w:t>
            </w:r>
          </w:p>
        </w:tc>
      </w:tr>
      <w:tr w:rsidR="00C302BB" w:rsidRPr="00EB35C8" w14:paraId="7F2DC48E" w14:textId="358F2976" w:rsidTr="00EB35C8">
        <w:trPr>
          <w:trHeight w:val="300"/>
          <w:jc w:val="center"/>
        </w:trPr>
        <w:tc>
          <w:tcPr>
            <w:tcW w:w="2800" w:type="dxa"/>
            <w:tcBorders>
              <w:top w:val="nil"/>
              <w:left w:val="nil"/>
              <w:bottom w:val="single" w:sz="12" w:space="0" w:color="auto"/>
              <w:right w:val="nil"/>
            </w:tcBorders>
            <w:shd w:val="clear" w:color="auto" w:fill="auto"/>
            <w:vAlign w:val="center"/>
            <w:hideMark/>
          </w:tcPr>
          <w:p w14:paraId="5731EB4A" w14:textId="77777777" w:rsidR="00C302BB" w:rsidRPr="00EB35C8" w:rsidRDefault="00C302BB" w:rsidP="007763A4">
            <w:pPr>
              <w:rPr>
                <w:b/>
                <w:bCs/>
                <w:color w:val="000000" w:themeColor="text1"/>
                <w:kern w:val="22"/>
                <w:szCs w:val="22"/>
              </w:rPr>
            </w:pPr>
            <w:r w:rsidRPr="00EB35C8">
              <w:rPr>
                <w:b/>
                <w:bCs/>
                <w:color w:val="000000" w:themeColor="text1"/>
                <w:kern w:val="22"/>
                <w:szCs w:val="22"/>
              </w:rPr>
              <w:t>Total</w:t>
            </w:r>
          </w:p>
        </w:tc>
        <w:tc>
          <w:tcPr>
            <w:tcW w:w="2060" w:type="dxa"/>
            <w:tcBorders>
              <w:top w:val="nil"/>
              <w:left w:val="nil"/>
              <w:bottom w:val="single" w:sz="12" w:space="0" w:color="auto"/>
              <w:right w:val="nil"/>
            </w:tcBorders>
            <w:shd w:val="clear" w:color="auto" w:fill="auto"/>
            <w:vAlign w:val="center"/>
            <w:hideMark/>
          </w:tcPr>
          <w:p w14:paraId="311C5D23" w14:textId="77777777" w:rsidR="00C302BB" w:rsidRPr="00EB35C8" w:rsidRDefault="00C302BB" w:rsidP="007763A4">
            <w:pPr>
              <w:jc w:val="right"/>
              <w:rPr>
                <w:b/>
                <w:bCs/>
                <w:color w:val="000000" w:themeColor="text1"/>
                <w:kern w:val="22"/>
                <w:szCs w:val="22"/>
              </w:rPr>
            </w:pPr>
            <w:r w:rsidRPr="00EB35C8">
              <w:rPr>
                <w:b/>
                <w:bCs/>
                <w:color w:val="000000" w:themeColor="text1"/>
                <w:kern w:val="22"/>
                <w:szCs w:val="22"/>
              </w:rPr>
              <w:t>78</w:t>
            </w:r>
          </w:p>
        </w:tc>
        <w:tc>
          <w:tcPr>
            <w:tcW w:w="2250" w:type="dxa"/>
            <w:tcBorders>
              <w:top w:val="nil"/>
              <w:left w:val="nil"/>
              <w:bottom w:val="single" w:sz="12" w:space="0" w:color="auto"/>
              <w:right w:val="nil"/>
            </w:tcBorders>
            <w:shd w:val="clear" w:color="auto" w:fill="auto"/>
            <w:vAlign w:val="center"/>
            <w:hideMark/>
          </w:tcPr>
          <w:p w14:paraId="282DC6BB" w14:textId="77777777" w:rsidR="00C302BB" w:rsidRPr="00EB35C8" w:rsidRDefault="00C302BB" w:rsidP="007763A4">
            <w:pPr>
              <w:jc w:val="right"/>
              <w:rPr>
                <w:b/>
                <w:bCs/>
                <w:color w:val="000000" w:themeColor="text1"/>
                <w:kern w:val="22"/>
                <w:szCs w:val="22"/>
              </w:rPr>
            </w:pPr>
            <w:r w:rsidRPr="00EB35C8">
              <w:rPr>
                <w:b/>
                <w:bCs/>
                <w:color w:val="000000" w:themeColor="text1"/>
                <w:kern w:val="22"/>
                <w:szCs w:val="22"/>
              </w:rPr>
              <w:t>78</w:t>
            </w:r>
          </w:p>
        </w:tc>
        <w:tc>
          <w:tcPr>
            <w:tcW w:w="1890" w:type="dxa"/>
            <w:tcBorders>
              <w:top w:val="nil"/>
              <w:left w:val="nil"/>
              <w:bottom w:val="single" w:sz="12" w:space="0" w:color="auto"/>
              <w:right w:val="nil"/>
            </w:tcBorders>
          </w:tcPr>
          <w:p w14:paraId="50367340" w14:textId="0E751FF2" w:rsidR="00C302BB" w:rsidRPr="00EB35C8" w:rsidRDefault="00C302BB" w:rsidP="007763A4">
            <w:pPr>
              <w:jc w:val="right"/>
              <w:rPr>
                <w:b/>
                <w:bCs/>
                <w:color w:val="000000" w:themeColor="text1"/>
                <w:kern w:val="22"/>
                <w:szCs w:val="22"/>
              </w:rPr>
            </w:pPr>
            <w:r w:rsidRPr="00EB35C8">
              <w:rPr>
                <w:b/>
                <w:bCs/>
                <w:color w:val="000000" w:themeColor="text1"/>
                <w:kern w:val="22"/>
                <w:szCs w:val="22"/>
              </w:rPr>
              <w:t>-</w:t>
            </w:r>
          </w:p>
        </w:tc>
      </w:tr>
    </w:tbl>
    <w:p w14:paraId="1766E1FC" w14:textId="77777777" w:rsidR="005B4FB5" w:rsidRPr="000322A9" w:rsidRDefault="005B4FB5" w:rsidP="009822D9">
      <w:pPr>
        <w:pStyle w:val="ListParagraph"/>
        <w:spacing w:before="120" w:after="120"/>
        <w:ind w:left="0"/>
        <w:contextualSpacing w:val="0"/>
        <w:rPr>
          <w:rFonts w:eastAsia="Malgun Gothic"/>
          <w:b/>
          <w:iCs/>
          <w:color w:val="000000" w:themeColor="text1"/>
          <w:kern w:val="22"/>
          <w:lang w:eastAsia="ko-KR"/>
        </w:rPr>
      </w:pPr>
    </w:p>
    <w:p w14:paraId="3E7C65EB" w14:textId="234B7617" w:rsidR="00315701" w:rsidRPr="000322A9" w:rsidRDefault="00315701">
      <w:pPr>
        <w:spacing w:after="160" w:line="259" w:lineRule="auto"/>
        <w:rPr>
          <w:bCs/>
          <w:kern w:val="22"/>
          <w:szCs w:val="22"/>
        </w:rPr>
      </w:pPr>
      <w:r w:rsidRPr="000322A9">
        <w:rPr>
          <w:bCs/>
          <w:kern w:val="22"/>
          <w:szCs w:val="22"/>
        </w:rPr>
        <w:br w:type="page"/>
      </w:r>
    </w:p>
    <w:p w14:paraId="323ECF21" w14:textId="77777777" w:rsidR="006E1427" w:rsidRDefault="00105C68" w:rsidP="0079737F">
      <w:pPr>
        <w:autoSpaceDE w:val="0"/>
        <w:autoSpaceDN w:val="0"/>
        <w:adjustRightInd w:val="0"/>
        <w:rPr>
          <w:rFonts w:eastAsiaTheme="minorEastAsia"/>
          <w:b/>
          <w:kern w:val="22"/>
          <w:szCs w:val="22"/>
        </w:rPr>
      </w:pPr>
      <w:r w:rsidRPr="00105C68">
        <w:rPr>
          <w:rFonts w:eastAsiaTheme="minorEastAsia"/>
          <w:b/>
          <w:kern w:val="22"/>
          <w:szCs w:val="22"/>
        </w:rPr>
        <w:lastRenderedPageBreak/>
        <w:t xml:space="preserve">Tableau 7 </w:t>
      </w:r>
    </w:p>
    <w:p w14:paraId="3301E5A3" w14:textId="2E9CF949" w:rsidR="0079737F" w:rsidRDefault="00105C68" w:rsidP="0079737F">
      <w:pPr>
        <w:autoSpaceDE w:val="0"/>
        <w:autoSpaceDN w:val="0"/>
        <w:adjustRightInd w:val="0"/>
        <w:rPr>
          <w:rFonts w:eastAsiaTheme="minorEastAsia"/>
          <w:b/>
          <w:kern w:val="22"/>
          <w:szCs w:val="22"/>
          <w:lang w:val="fr-FR"/>
        </w:rPr>
      </w:pPr>
      <w:r w:rsidRPr="006E1427">
        <w:rPr>
          <w:rFonts w:eastAsiaTheme="minorEastAsia"/>
          <w:b/>
          <w:kern w:val="22"/>
          <w:szCs w:val="22"/>
          <w:lang w:val="fr-FR"/>
        </w:rPr>
        <w:t>Contributions au Fonds d'affectation spéciale de la Convention sur la diversité biologique pour 2021</w:t>
      </w:r>
    </w:p>
    <w:p w14:paraId="57142642" w14:textId="77777777" w:rsidR="006E1427" w:rsidRPr="006E1427" w:rsidRDefault="006E1427" w:rsidP="0079737F">
      <w:pPr>
        <w:autoSpaceDE w:val="0"/>
        <w:autoSpaceDN w:val="0"/>
        <w:adjustRightInd w:val="0"/>
        <w:rPr>
          <w:rFonts w:eastAsiaTheme="minorEastAsia"/>
          <w:b/>
          <w:kern w:val="22"/>
          <w:szCs w:val="22"/>
          <w:lang w:val="fr-FR"/>
        </w:rPr>
      </w:pPr>
    </w:p>
    <w:tbl>
      <w:tblPr>
        <w:tblW w:w="9420" w:type="dxa"/>
        <w:tblLook w:val="04A0" w:firstRow="1" w:lastRow="0" w:firstColumn="1" w:lastColumn="0" w:noHBand="0" w:noVBand="1"/>
      </w:tblPr>
      <w:tblGrid>
        <w:gridCol w:w="4800"/>
        <w:gridCol w:w="1540"/>
        <w:gridCol w:w="1540"/>
        <w:gridCol w:w="1540"/>
      </w:tblGrid>
      <w:tr w:rsidR="0032335C" w:rsidRPr="00C63A39" w14:paraId="49F5508F" w14:textId="77777777" w:rsidTr="00315701">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7E7F66" w14:textId="54B21158" w:rsidR="0032335C" w:rsidRPr="00C63A39" w:rsidRDefault="0032335C" w:rsidP="0032335C">
            <w:pPr>
              <w:jc w:val="center"/>
              <w:rPr>
                <w:b/>
                <w:bCs/>
                <w:kern w:val="22"/>
                <w:szCs w:val="22"/>
                <w:lang w:eastAsia="en-CA"/>
              </w:rPr>
            </w:pPr>
            <w:r w:rsidRPr="00C63A39">
              <w:rPr>
                <w:b/>
                <w:bCs/>
                <w:kern w:val="22"/>
                <w:szCs w:val="22"/>
                <w:lang w:val="fr-FR" w:eastAsia="en-CA"/>
              </w:rPr>
              <w:t>Pa</w:t>
            </w:r>
            <w:r w:rsidR="005F7E95" w:rsidRPr="00C63A39">
              <w:rPr>
                <w:b/>
                <w:bCs/>
                <w:kern w:val="22"/>
                <w:szCs w:val="22"/>
                <w:lang w:val="fr-FR" w:eastAsia="en-CA"/>
              </w:rPr>
              <w:t>rtie</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34EA6344" w14:textId="3310D081" w:rsidR="0032335C" w:rsidRPr="00C63A39" w:rsidRDefault="0032335C" w:rsidP="0032335C">
            <w:pPr>
              <w:jc w:val="center"/>
              <w:rPr>
                <w:b/>
                <w:bCs/>
                <w:color w:val="000000"/>
                <w:kern w:val="22"/>
                <w:szCs w:val="22"/>
                <w:lang w:eastAsia="en-CA"/>
              </w:rPr>
            </w:pPr>
            <w:r w:rsidRPr="00C63A39">
              <w:rPr>
                <w:b/>
                <w:bCs/>
                <w:color w:val="000000"/>
                <w:kern w:val="22"/>
                <w:szCs w:val="22"/>
                <w:lang w:val="fr-FR" w:eastAsia="en-CA"/>
              </w:rPr>
              <w:t>Barème d</w:t>
            </w:r>
            <w:r w:rsidR="005F7E95" w:rsidRPr="00C63A39">
              <w:rPr>
                <w:b/>
                <w:bCs/>
                <w:color w:val="000000"/>
                <w:kern w:val="22"/>
                <w:szCs w:val="22"/>
                <w:lang w:val="fr-FR" w:eastAsia="en-CA"/>
              </w:rPr>
              <w:t xml:space="preserve">es quotes-parts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1EEF012B" w14:textId="7858913E" w:rsidR="0032335C" w:rsidRPr="006E23F0" w:rsidRDefault="005F7E95" w:rsidP="0032335C">
            <w:pPr>
              <w:jc w:val="center"/>
              <w:rPr>
                <w:b/>
                <w:bCs/>
                <w:color w:val="000000"/>
                <w:kern w:val="22"/>
                <w:szCs w:val="22"/>
                <w:lang w:val="fr-CA" w:eastAsia="en-CA"/>
              </w:rPr>
            </w:pPr>
            <w:r w:rsidRPr="00C63A39">
              <w:rPr>
                <w:b/>
                <w:bCs/>
                <w:color w:val="000000"/>
                <w:kern w:val="22"/>
                <w:szCs w:val="22"/>
                <w:lang w:val="fr-FR" w:eastAsia="en-CA"/>
              </w:rPr>
              <w:t>Barème assorti d’un plafond de 22</w:t>
            </w:r>
            <w:r w:rsidR="00726AD8" w:rsidRPr="00C63A39">
              <w:rPr>
                <w:b/>
                <w:bCs/>
                <w:color w:val="000000"/>
                <w:kern w:val="22"/>
                <w:szCs w:val="22"/>
                <w:lang w:val="fr-FR" w:eastAsia="en-CA"/>
              </w:rPr>
              <w:t xml:space="preserve"> </w:t>
            </w:r>
            <w:r w:rsidRPr="00C63A39">
              <w:rPr>
                <w:b/>
                <w:bCs/>
                <w:color w:val="000000"/>
                <w:kern w:val="22"/>
                <w:szCs w:val="22"/>
                <w:lang w:val="fr-FR" w:eastAsia="en-CA"/>
              </w:rPr>
              <w:t>PMA ne paie</w:t>
            </w:r>
            <w:r w:rsidR="00726AD8" w:rsidRPr="00C63A39">
              <w:rPr>
                <w:b/>
                <w:bCs/>
                <w:color w:val="000000"/>
                <w:kern w:val="22"/>
                <w:szCs w:val="22"/>
                <w:lang w:val="fr-FR" w:eastAsia="en-CA"/>
              </w:rPr>
              <w:t>nt</w:t>
            </w:r>
            <w:r w:rsidRPr="00C63A39">
              <w:rPr>
                <w:b/>
                <w:bCs/>
                <w:color w:val="000000"/>
                <w:kern w:val="22"/>
                <w:szCs w:val="22"/>
                <w:lang w:val="fr-FR" w:eastAsia="en-CA"/>
              </w:rPr>
              <w:t xml:space="preserve"> plus de 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520CA3D0" w14:textId="106D1E0B" w:rsidR="0032335C" w:rsidRPr="00C63A39" w:rsidRDefault="0032335C" w:rsidP="0032335C">
            <w:pPr>
              <w:jc w:val="center"/>
              <w:rPr>
                <w:b/>
                <w:bCs/>
                <w:color w:val="000000"/>
                <w:kern w:val="22"/>
                <w:szCs w:val="22"/>
                <w:lang w:eastAsia="en-CA"/>
              </w:rPr>
            </w:pPr>
            <w:r w:rsidRPr="00C63A39">
              <w:rPr>
                <w:b/>
                <w:bCs/>
                <w:color w:val="000000"/>
                <w:kern w:val="22"/>
                <w:szCs w:val="22"/>
                <w:lang w:val="fr-FR" w:eastAsia="en-CA"/>
              </w:rPr>
              <w:t>Contributions au 1er janvier 2020</w:t>
            </w:r>
          </w:p>
        </w:tc>
      </w:tr>
      <w:tr w:rsidR="00315701" w:rsidRPr="00C63A39" w14:paraId="3636D232"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3204A4D" w14:textId="77777777" w:rsidR="00315701" w:rsidRPr="00C63A39" w:rsidRDefault="00315701" w:rsidP="00315701">
            <w:pPr>
              <w:rPr>
                <w:color w:val="000000"/>
                <w:kern w:val="22"/>
                <w:szCs w:val="22"/>
                <w:lang w:val="fr-FR" w:eastAsia="en-CA"/>
              </w:rPr>
            </w:pPr>
            <w:r w:rsidRPr="00C63A39">
              <w:rPr>
                <w:color w:val="000000"/>
                <w:kern w:val="22"/>
                <w:szCs w:val="22"/>
                <w:lang w:val="fr-FR" w:eastAsia="en-CA"/>
              </w:rPr>
              <w:t>Afghanistan</w:t>
            </w:r>
          </w:p>
        </w:tc>
        <w:tc>
          <w:tcPr>
            <w:tcW w:w="1540" w:type="dxa"/>
            <w:tcBorders>
              <w:top w:val="nil"/>
              <w:left w:val="nil"/>
              <w:bottom w:val="single" w:sz="4" w:space="0" w:color="auto"/>
              <w:right w:val="single" w:sz="4" w:space="0" w:color="auto"/>
            </w:tcBorders>
            <w:shd w:val="clear" w:color="auto" w:fill="auto"/>
            <w:vAlign w:val="center"/>
            <w:hideMark/>
          </w:tcPr>
          <w:p w14:paraId="68CF4955" w14:textId="77777777" w:rsidR="00315701" w:rsidRPr="00C63A39" w:rsidRDefault="00315701" w:rsidP="00315701">
            <w:pPr>
              <w:jc w:val="right"/>
              <w:rPr>
                <w:color w:val="000000"/>
                <w:kern w:val="22"/>
                <w:szCs w:val="22"/>
                <w:lang w:val="fr-FR" w:eastAsia="en-CA"/>
              </w:rPr>
            </w:pPr>
            <w:r w:rsidRPr="00C63A39">
              <w:rPr>
                <w:color w:val="000000"/>
                <w:kern w:val="22"/>
                <w:szCs w:val="22"/>
                <w:lang w:val="fr-FR" w:eastAsia="en-CA"/>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14:paraId="733D2827" w14:textId="77777777" w:rsidR="00315701" w:rsidRPr="00C63A39" w:rsidRDefault="00315701" w:rsidP="00315701">
            <w:pPr>
              <w:jc w:val="right"/>
              <w:rPr>
                <w:color w:val="000000"/>
                <w:kern w:val="22"/>
                <w:szCs w:val="22"/>
                <w:lang w:val="fr-FR" w:eastAsia="en-CA"/>
              </w:rPr>
            </w:pPr>
            <w:r w:rsidRPr="00C63A39">
              <w:rPr>
                <w:color w:val="000000"/>
                <w:kern w:val="22"/>
                <w:szCs w:val="22"/>
                <w:lang w:val="fr-FR" w:eastAsia="en-CA"/>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14:paraId="0C3A5E0D" w14:textId="77777777" w:rsidR="00315701" w:rsidRPr="00C63A39" w:rsidRDefault="00315701" w:rsidP="00315701">
            <w:pPr>
              <w:jc w:val="right"/>
              <w:rPr>
                <w:color w:val="000000"/>
                <w:kern w:val="22"/>
                <w:szCs w:val="22"/>
                <w:lang w:val="fr-FR" w:eastAsia="en-CA"/>
              </w:rPr>
            </w:pPr>
            <w:r w:rsidRPr="00C63A39">
              <w:rPr>
                <w:color w:val="000000"/>
                <w:kern w:val="22"/>
                <w:szCs w:val="22"/>
                <w:lang w:val="fr-FR" w:eastAsia="en-CA"/>
              </w:rPr>
              <w:t>998</w:t>
            </w:r>
          </w:p>
        </w:tc>
      </w:tr>
      <w:tr w:rsidR="00315701" w:rsidRPr="00C63A39" w14:paraId="17F1C6A1"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02A87DA" w14:textId="0BD5CAD9" w:rsidR="00315701" w:rsidRPr="00C63A39" w:rsidRDefault="00315701" w:rsidP="00315701">
            <w:pPr>
              <w:rPr>
                <w:color w:val="000000"/>
                <w:kern w:val="22"/>
                <w:szCs w:val="22"/>
                <w:lang w:val="fr-FR" w:eastAsia="en-CA"/>
              </w:rPr>
            </w:pPr>
            <w:r w:rsidRPr="00C63A39">
              <w:rPr>
                <w:color w:val="000000"/>
                <w:kern w:val="22"/>
                <w:szCs w:val="22"/>
                <w:lang w:val="fr-FR" w:eastAsia="en-CA"/>
              </w:rPr>
              <w:t>Albani</w:t>
            </w:r>
            <w:r w:rsidR="00BC5BC9" w:rsidRPr="00C63A39">
              <w:rPr>
                <w:color w:val="000000"/>
                <w:kern w:val="22"/>
                <w:szCs w:val="22"/>
                <w:lang w:val="fr-FR" w:eastAsia="en-CA"/>
              </w:rPr>
              <w:t>e</w:t>
            </w:r>
          </w:p>
        </w:tc>
        <w:tc>
          <w:tcPr>
            <w:tcW w:w="1540" w:type="dxa"/>
            <w:tcBorders>
              <w:top w:val="nil"/>
              <w:left w:val="nil"/>
              <w:bottom w:val="single" w:sz="4" w:space="0" w:color="auto"/>
              <w:right w:val="single" w:sz="4" w:space="0" w:color="auto"/>
            </w:tcBorders>
            <w:shd w:val="clear" w:color="auto" w:fill="auto"/>
            <w:vAlign w:val="center"/>
            <w:hideMark/>
          </w:tcPr>
          <w:p w14:paraId="2AAA9F2C" w14:textId="77777777" w:rsidR="00315701" w:rsidRPr="00C63A39" w:rsidRDefault="00315701" w:rsidP="00315701">
            <w:pPr>
              <w:jc w:val="right"/>
              <w:rPr>
                <w:color w:val="000000"/>
                <w:kern w:val="22"/>
                <w:szCs w:val="22"/>
                <w:lang w:val="fr-FR" w:eastAsia="en-CA"/>
              </w:rPr>
            </w:pPr>
            <w:r w:rsidRPr="00C63A39">
              <w:rPr>
                <w:color w:val="000000"/>
                <w:kern w:val="22"/>
                <w:szCs w:val="22"/>
                <w:lang w:val="fr-FR" w:eastAsia="en-CA"/>
              </w:rPr>
              <w:t xml:space="preserve">0.008 </w:t>
            </w:r>
          </w:p>
        </w:tc>
        <w:tc>
          <w:tcPr>
            <w:tcW w:w="1540" w:type="dxa"/>
            <w:tcBorders>
              <w:top w:val="nil"/>
              <w:left w:val="nil"/>
              <w:bottom w:val="single" w:sz="4" w:space="0" w:color="auto"/>
              <w:right w:val="single" w:sz="4" w:space="0" w:color="auto"/>
            </w:tcBorders>
            <w:shd w:val="clear" w:color="auto" w:fill="auto"/>
            <w:noWrap/>
            <w:vAlign w:val="center"/>
            <w:hideMark/>
          </w:tcPr>
          <w:p w14:paraId="6EA920E4" w14:textId="77777777" w:rsidR="00315701" w:rsidRPr="00C63A39" w:rsidRDefault="00315701" w:rsidP="00315701">
            <w:pPr>
              <w:jc w:val="right"/>
              <w:rPr>
                <w:color w:val="000000"/>
                <w:kern w:val="22"/>
                <w:szCs w:val="22"/>
                <w:lang w:val="fr-FR" w:eastAsia="en-CA"/>
              </w:rPr>
            </w:pPr>
            <w:r w:rsidRPr="00C63A39">
              <w:rPr>
                <w:color w:val="000000"/>
                <w:kern w:val="22"/>
                <w:szCs w:val="22"/>
                <w:lang w:val="fr-FR"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695FB6B9" w14:textId="77777777" w:rsidR="00315701" w:rsidRPr="00C63A39" w:rsidRDefault="00315701" w:rsidP="00315701">
            <w:pPr>
              <w:jc w:val="right"/>
              <w:rPr>
                <w:color w:val="000000"/>
                <w:kern w:val="22"/>
                <w:szCs w:val="22"/>
                <w:lang w:val="fr-FR" w:eastAsia="en-CA"/>
              </w:rPr>
            </w:pPr>
            <w:r w:rsidRPr="00C63A39">
              <w:rPr>
                <w:color w:val="000000"/>
                <w:kern w:val="22"/>
                <w:szCs w:val="22"/>
                <w:lang w:val="fr-FR" w:eastAsia="en-CA"/>
              </w:rPr>
              <w:t>1,140</w:t>
            </w:r>
          </w:p>
        </w:tc>
      </w:tr>
      <w:tr w:rsidR="00315701" w:rsidRPr="00C63A39" w14:paraId="5B54F22B"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15DC5C9" w14:textId="6684D01F" w:rsidR="00315701" w:rsidRPr="00C63A39" w:rsidRDefault="00315701" w:rsidP="00315701">
            <w:pPr>
              <w:rPr>
                <w:color w:val="000000"/>
                <w:kern w:val="22"/>
                <w:szCs w:val="22"/>
                <w:lang w:val="fr-FR" w:eastAsia="en-CA"/>
              </w:rPr>
            </w:pPr>
            <w:r w:rsidRPr="00C63A39">
              <w:rPr>
                <w:color w:val="000000"/>
                <w:kern w:val="22"/>
                <w:szCs w:val="22"/>
                <w:lang w:val="fr-FR" w:eastAsia="en-CA"/>
              </w:rPr>
              <w:t>Alg</w:t>
            </w:r>
            <w:r w:rsidR="00BC5BC9" w:rsidRPr="00C63A39">
              <w:rPr>
                <w:color w:val="000000"/>
                <w:kern w:val="22"/>
                <w:szCs w:val="22"/>
                <w:lang w:val="fr-FR" w:eastAsia="en-CA"/>
              </w:rPr>
              <w:t>érie</w:t>
            </w:r>
          </w:p>
        </w:tc>
        <w:tc>
          <w:tcPr>
            <w:tcW w:w="1540" w:type="dxa"/>
            <w:tcBorders>
              <w:top w:val="nil"/>
              <w:left w:val="nil"/>
              <w:bottom w:val="single" w:sz="4" w:space="0" w:color="auto"/>
              <w:right w:val="single" w:sz="4" w:space="0" w:color="auto"/>
            </w:tcBorders>
            <w:shd w:val="clear" w:color="auto" w:fill="auto"/>
            <w:vAlign w:val="center"/>
            <w:hideMark/>
          </w:tcPr>
          <w:p w14:paraId="75798BCE" w14:textId="77777777" w:rsidR="00315701" w:rsidRPr="00C63A39" w:rsidRDefault="00315701" w:rsidP="00315701">
            <w:pPr>
              <w:jc w:val="right"/>
              <w:rPr>
                <w:color w:val="000000"/>
                <w:kern w:val="22"/>
                <w:szCs w:val="22"/>
                <w:lang w:val="fr-FR" w:eastAsia="en-CA"/>
              </w:rPr>
            </w:pPr>
            <w:r w:rsidRPr="00C63A39">
              <w:rPr>
                <w:color w:val="000000"/>
                <w:kern w:val="22"/>
                <w:szCs w:val="22"/>
                <w:lang w:val="fr-FR" w:eastAsia="en-CA"/>
              </w:rPr>
              <w:t xml:space="preserve">0.138 </w:t>
            </w:r>
          </w:p>
        </w:tc>
        <w:tc>
          <w:tcPr>
            <w:tcW w:w="1540" w:type="dxa"/>
            <w:tcBorders>
              <w:top w:val="nil"/>
              <w:left w:val="nil"/>
              <w:bottom w:val="single" w:sz="4" w:space="0" w:color="auto"/>
              <w:right w:val="single" w:sz="4" w:space="0" w:color="auto"/>
            </w:tcBorders>
            <w:shd w:val="clear" w:color="auto" w:fill="auto"/>
            <w:noWrap/>
            <w:vAlign w:val="center"/>
            <w:hideMark/>
          </w:tcPr>
          <w:p w14:paraId="52F54B3B" w14:textId="77777777" w:rsidR="00315701" w:rsidRPr="00C63A39" w:rsidRDefault="00315701" w:rsidP="00315701">
            <w:pPr>
              <w:jc w:val="right"/>
              <w:rPr>
                <w:color w:val="000000"/>
                <w:kern w:val="22"/>
                <w:szCs w:val="22"/>
                <w:lang w:val="fr-FR" w:eastAsia="en-CA"/>
              </w:rPr>
            </w:pPr>
            <w:r w:rsidRPr="00C63A39">
              <w:rPr>
                <w:color w:val="000000"/>
                <w:kern w:val="22"/>
                <w:szCs w:val="22"/>
                <w:lang w:val="fr-FR" w:eastAsia="en-CA"/>
              </w:rPr>
              <w:t xml:space="preserve">0.173 </w:t>
            </w:r>
          </w:p>
        </w:tc>
        <w:tc>
          <w:tcPr>
            <w:tcW w:w="1540" w:type="dxa"/>
            <w:tcBorders>
              <w:top w:val="nil"/>
              <w:left w:val="nil"/>
              <w:bottom w:val="single" w:sz="4" w:space="0" w:color="auto"/>
              <w:right w:val="single" w:sz="4" w:space="0" w:color="auto"/>
            </w:tcBorders>
            <w:shd w:val="clear" w:color="auto" w:fill="auto"/>
            <w:noWrap/>
            <w:vAlign w:val="center"/>
            <w:hideMark/>
          </w:tcPr>
          <w:p w14:paraId="2753F7C4" w14:textId="77777777" w:rsidR="00315701" w:rsidRPr="00C63A39" w:rsidRDefault="00315701" w:rsidP="00315701">
            <w:pPr>
              <w:jc w:val="right"/>
              <w:rPr>
                <w:color w:val="000000"/>
                <w:kern w:val="22"/>
                <w:szCs w:val="22"/>
                <w:lang w:val="fr-FR" w:eastAsia="en-CA"/>
              </w:rPr>
            </w:pPr>
            <w:r w:rsidRPr="00C63A39">
              <w:rPr>
                <w:color w:val="000000"/>
                <w:kern w:val="22"/>
                <w:szCs w:val="22"/>
                <w:lang w:val="fr-FR" w:eastAsia="en-CA"/>
              </w:rPr>
              <w:t>19,673</w:t>
            </w:r>
          </w:p>
        </w:tc>
      </w:tr>
      <w:tr w:rsidR="00315701" w:rsidRPr="00C63A39" w14:paraId="66B76E86"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4DB3EE6" w14:textId="5B102CD4" w:rsidR="00315701" w:rsidRPr="00C63A39" w:rsidRDefault="00315701" w:rsidP="00315701">
            <w:pPr>
              <w:rPr>
                <w:color w:val="000000"/>
                <w:kern w:val="22"/>
                <w:szCs w:val="22"/>
                <w:lang w:val="fr-FR" w:eastAsia="en-CA"/>
              </w:rPr>
            </w:pPr>
            <w:r w:rsidRPr="00C63A39">
              <w:rPr>
                <w:color w:val="000000"/>
                <w:kern w:val="22"/>
                <w:szCs w:val="22"/>
                <w:lang w:val="fr-FR" w:eastAsia="en-CA"/>
              </w:rPr>
              <w:t>Andorr</w:t>
            </w:r>
            <w:r w:rsidR="00BC5BC9" w:rsidRPr="00C63A39">
              <w:rPr>
                <w:color w:val="000000"/>
                <w:kern w:val="22"/>
                <w:szCs w:val="22"/>
                <w:lang w:val="fr-FR" w:eastAsia="en-CA"/>
              </w:rPr>
              <w:t>e</w:t>
            </w:r>
          </w:p>
        </w:tc>
        <w:tc>
          <w:tcPr>
            <w:tcW w:w="1540" w:type="dxa"/>
            <w:tcBorders>
              <w:top w:val="nil"/>
              <w:left w:val="nil"/>
              <w:bottom w:val="single" w:sz="4" w:space="0" w:color="auto"/>
              <w:right w:val="single" w:sz="4" w:space="0" w:color="auto"/>
            </w:tcBorders>
            <w:shd w:val="clear" w:color="auto" w:fill="auto"/>
            <w:vAlign w:val="center"/>
            <w:hideMark/>
          </w:tcPr>
          <w:p w14:paraId="4A08F13E" w14:textId="77777777" w:rsidR="00315701" w:rsidRPr="00C63A39" w:rsidRDefault="00315701" w:rsidP="00315701">
            <w:pPr>
              <w:jc w:val="right"/>
              <w:rPr>
                <w:color w:val="000000"/>
                <w:kern w:val="22"/>
                <w:szCs w:val="22"/>
                <w:lang w:val="fr-FR" w:eastAsia="en-CA"/>
              </w:rPr>
            </w:pPr>
            <w:r w:rsidRPr="00C63A39">
              <w:rPr>
                <w:color w:val="000000"/>
                <w:kern w:val="22"/>
                <w:szCs w:val="22"/>
                <w:lang w:val="fr-FR" w:eastAsia="en-CA"/>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14:paraId="541BC2BF" w14:textId="77777777" w:rsidR="00315701" w:rsidRPr="00C63A39" w:rsidRDefault="00315701" w:rsidP="00315701">
            <w:pPr>
              <w:jc w:val="right"/>
              <w:rPr>
                <w:color w:val="000000"/>
                <w:kern w:val="22"/>
                <w:szCs w:val="22"/>
                <w:lang w:val="fr-FR" w:eastAsia="en-CA"/>
              </w:rPr>
            </w:pPr>
            <w:r w:rsidRPr="00C63A39">
              <w:rPr>
                <w:color w:val="000000"/>
                <w:kern w:val="22"/>
                <w:szCs w:val="22"/>
                <w:lang w:val="fr-FR" w:eastAsia="en-CA"/>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14:paraId="480AF074" w14:textId="77777777" w:rsidR="00315701" w:rsidRPr="00C63A39" w:rsidRDefault="00315701" w:rsidP="00315701">
            <w:pPr>
              <w:jc w:val="right"/>
              <w:rPr>
                <w:color w:val="000000"/>
                <w:kern w:val="22"/>
                <w:szCs w:val="22"/>
                <w:lang w:val="fr-FR" w:eastAsia="en-CA"/>
              </w:rPr>
            </w:pPr>
            <w:r w:rsidRPr="00C63A39">
              <w:rPr>
                <w:color w:val="000000"/>
                <w:kern w:val="22"/>
                <w:szCs w:val="22"/>
                <w:lang w:val="fr-FR" w:eastAsia="en-CA"/>
              </w:rPr>
              <w:t>713</w:t>
            </w:r>
          </w:p>
        </w:tc>
      </w:tr>
      <w:tr w:rsidR="00315701" w:rsidRPr="00C63A39" w14:paraId="65A63A32"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6180976" w14:textId="77777777" w:rsidR="00315701" w:rsidRPr="00C63A39" w:rsidRDefault="00315701" w:rsidP="00315701">
            <w:pPr>
              <w:rPr>
                <w:color w:val="000000"/>
                <w:kern w:val="22"/>
                <w:szCs w:val="22"/>
                <w:lang w:val="fr-FR" w:eastAsia="en-CA"/>
              </w:rPr>
            </w:pPr>
            <w:r w:rsidRPr="00C63A39">
              <w:rPr>
                <w:color w:val="000000"/>
                <w:kern w:val="22"/>
                <w:szCs w:val="22"/>
                <w:lang w:val="fr-FR" w:eastAsia="en-CA"/>
              </w:rPr>
              <w:t>Angola</w:t>
            </w:r>
          </w:p>
        </w:tc>
        <w:tc>
          <w:tcPr>
            <w:tcW w:w="1540" w:type="dxa"/>
            <w:tcBorders>
              <w:top w:val="nil"/>
              <w:left w:val="nil"/>
              <w:bottom w:val="single" w:sz="4" w:space="0" w:color="auto"/>
              <w:right w:val="single" w:sz="4" w:space="0" w:color="auto"/>
            </w:tcBorders>
            <w:shd w:val="clear" w:color="auto" w:fill="auto"/>
            <w:vAlign w:val="center"/>
            <w:hideMark/>
          </w:tcPr>
          <w:p w14:paraId="032FB43C" w14:textId="77777777" w:rsidR="00315701" w:rsidRPr="00C63A39" w:rsidRDefault="00315701" w:rsidP="00315701">
            <w:pPr>
              <w:jc w:val="right"/>
              <w:rPr>
                <w:color w:val="000000"/>
                <w:kern w:val="22"/>
                <w:szCs w:val="22"/>
                <w:lang w:val="fr-FR" w:eastAsia="en-CA"/>
              </w:rPr>
            </w:pPr>
            <w:r w:rsidRPr="00C63A39">
              <w:rPr>
                <w:color w:val="000000"/>
                <w:kern w:val="22"/>
                <w:szCs w:val="22"/>
                <w:lang w:val="fr-FR"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58221665" w14:textId="77777777" w:rsidR="00315701" w:rsidRPr="00C63A39" w:rsidRDefault="00315701" w:rsidP="00315701">
            <w:pPr>
              <w:jc w:val="right"/>
              <w:rPr>
                <w:color w:val="000000"/>
                <w:kern w:val="22"/>
                <w:szCs w:val="22"/>
                <w:lang w:val="fr-FR" w:eastAsia="en-CA"/>
              </w:rPr>
            </w:pPr>
            <w:r w:rsidRPr="00C63A39">
              <w:rPr>
                <w:color w:val="000000"/>
                <w:kern w:val="22"/>
                <w:szCs w:val="22"/>
                <w:lang w:val="fr-FR"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2EC20E2A" w14:textId="77777777" w:rsidR="00315701" w:rsidRPr="00C63A39" w:rsidRDefault="00315701" w:rsidP="00315701">
            <w:pPr>
              <w:jc w:val="right"/>
              <w:rPr>
                <w:color w:val="000000"/>
                <w:kern w:val="22"/>
                <w:szCs w:val="22"/>
                <w:lang w:val="fr-FR" w:eastAsia="en-CA"/>
              </w:rPr>
            </w:pPr>
            <w:r w:rsidRPr="00C63A39">
              <w:rPr>
                <w:color w:val="000000"/>
                <w:kern w:val="22"/>
                <w:szCs w:val="22"/>
                <w:lang w:val="fr-FR" w:eastAsia="en-CA"/>
              </w:rPr>
              <w:t>1,140</w:t>
            </w:r>
          </w:p>
        </w:tc>
      </w:tr>
      <w:tr w:rsidR="00315701" w:rsidRPr="00C63A39" w14:paraId="2AD9E446"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513814F" w14:textId="39D968DB" w:rsidR="00315701" w:rsidRPr="00C63A39" w:rsidRDefault="00315701" w:rsidP="00315701">
            <w:pPr>
              <w:rPr>
                <w:color w:val="000000"/>
                <w:kern w:val="22"/>
                <w:szCs w:val="22"/>
                <w:lang w:val="fr-FR" w:eastAsia="en-CA"/>
              </w:rPr>
            </w:pPr>
            <w:r w:rsidRPr="00C63A39">
              <w:rPr>
                <w:color w:val="000000"/>
                <w:kern w:val="22"/>
                <w:szCs w:val="22"/>
                <w:lang w:val="fr-FR" w:eastAsia="en-CA"/>
              </w:rPr>
              <w:t>Antigua</w:t>
            </w:r>
            <w:r w:rsidR="00BC5BC9" w:rsidRPr="00C63A39">
              <w:rPr>
                <w:color w:val="000000"/>
                <w:kern w:val="22"/>
                <w:szCs w:val="22"/>
                <w:lang w:val="fr-FR" w:eastAsia="en-CA"/>
              </w:rPr>
              <w:t>-et-Barbuda</w:t>
            </w:r>
          </w:p>
        </w:tc>
        <w:tc>
          <w:tcPr>
            <w:tcW w:w="1540" w:type="dxa"/>
            <w:tcBorders>
              <w:top w:val="nil"/>
              <w:left w:val="nil"/>
              <w:bottom w:val="single" w:sz="4" w:space="0" w:color="auto"/>
              <w:right w:val="single" w:sz="4" w:space="0" w:color="auto"/>
            </w:tcBorders>
            <w:shd w:val="clear" w:color="auto" w:fill="auto"/>
            <w:vAlign w:val="center"/>
            <w:hideMark/>
          </w:tcPr>
          <w:p w14:paraId="485471D1" w14:textId="77777777" w:rsidR="00315701" w:rsidRPr="00C63A39" w:rsidRDefault="00315701" w:rsidP="00315701">
            <w:pPr>
              <w:jc w:val="right"/>
              <w:rPr>
                <w:color w:val="000000"/>
                <w:kern w:val="22"/>
                <w:szCs w:val="22"/>
                <w:lang w:val="fr-FR" w:eastAsia="en-CA"/>
              </w:rPr>
            </w:pPr>
            <w:r w:rsidRPr="00C63A39">
              <w:rPr>
                <w:color w:val="000000"/>
                <w:kern w:val="22"/>
                <w:szCs w:val="22"/>
                <w:lang w:val="fr-FR"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6A9F28A7" w14:textId="77777777" w:rsidR="00315701" w:rsidRPr="00C63A39" w:rsidRDefault="00315701" w:rsidP="00315701">
            <w:pPr>
              <w:jc w:val="right"/>
              <w:rPr>
                <w:color w:val="000000"/>
                <w:kern w:val="22"/>
                <w:szCs w:val="22"/>
                <w:lang w:val="fr-FR" w:eastAsia="en-CA"/>
              </w:rPr>
            </w:pPr>
            <w:r w:rsidRPr="00C63A39">
              <w:rPr>
                <w:color w:val="000000"/>
                <w:kern w:val="22"/>
                <w:szCs w:val="22"/>
                <w:lang w:val="fr-FR"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76E784AD" w14:textId="77777777" w:rsidR="00315701" w:rsidRPr="00C63A39" w:rsidRDefault="00315701" w:rsidP="00315701">
            <w:pPr>
              <w:jc w:val="right"/>
              <w:rPr>
                <w:color w:val="000000"/>
                <w:kern w:val="22"/>
                <w:szCs w:val="22"/>
                <w:lang w:val="fr-FR" w:eastAsia="en-CA"/>
              </w:rPr>
            </w:pPr>
            <w:r w:rsidRPr="00C63A39">
              <w:rPr>
                <w:color w:val="000000"/>
                <w:kern w:val="22"/>
                <w:szCs w:val="22"/>
                <w:lang w:val="fr-FR" w:eastAsia="en-CA"/>
              </w:rPr>
              <w:t>285</w:t>
            </w:r>
          </w:p>
        </w:tc>
      </w:tr>
      <w:tr w:rsidR="00315701" w:rsidRPr="00C63A39" w14:paraId="049BC5C2"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4171BFD" w14:textId="472E2620" w:rsidR="00315701" w:rsidRPr="00C63A39" w:rsidRDefault="00315701" w:rsidP="00315701">
            <w:pPr>
              <w:rPr>
                <w:color w:val="000000"/>
                <w:kern w:val="22"/>
                <w:szCs w:val="22"/>
                <w:lang w:val="fr-FR" w:eastAsia="en-CA"/>
              </w:rPr>
            </w:pPr>
            <w:r w:rsidRPr="00C63A39">
              <w:rPr>
                <w:color w:val="000000"/>
                <w:kern w:val="22"/>
                <w:szCs w:val="22"/>
                <w:lang w:val="fr-FR" w:eastAsia="en-CA"/>
              </w:rPr>
              <w:t>Argentin</w:t>
            </w:r>
            <w:r w:rsidR="00BC5BC9" w:rsidRPr="00C63A39">
              <w:rPr>
                <w:color w:val="000000"/>
                <w:kern w:val="22"/>
                <w:szCs w:val="22"/>
                <w:lang w:val="fr-FR" w:eastAsia="en-CA"/>
              </w:rPr>
              <w:t>e</w:t>
            </w:r>
          </w:p>
        </w:tc>
        <w:tc>
          <w:tcPr>
            <w:tcW w:w="1540" w:type="dxa"/>
            <w:tcBorders>
              <w:top w:val="nil"/>
              <w:left w:val="nil"/>
              <w:bottom w:val="single" w:sz="4" w:space="0" w:color="auto"/>
              <w:right w:val="single" w:sz="4" w:space="0" w:color="auto"/>
            </w:tcBorders>
            <w:shd w:val="clear" w:color="auto" w:fill="auto"/>
            <w:vAlign w:val="center"/>
            <w:hideMark/>
          </w:tcPr>
          <w:p w14:paraId="05996220" w14:textId="77777777" w:rsidR="00315701" w:rsidRPr="00C63A39" w:rsidRDefault="00315701" w:rsidP="00315701">
            <w:pPr>
              <w:jc w:val="right"/>
              <w:rPr>
                <w:color w:val="000000"/>
                <w:kern w:val="22"/>
                <w:szCs w:val="22"/>
                <w:lang w:val="fr-FR" w:eastAsia="en-CA"/>
              </w:rPr>
            </w:pPr>
            <w:r w:rsidRPr="00C63A39">
              <w:rPr>
                <w:color w:val="000000"/>
                <w:kern w:val="22"/>
                <w:szCs w:val="22"/>
                <w:lang w:val="fr-FR" w:eastAsia="en-CA"/>
              </w:rPr>
              <w:t xml:space="preserve">0.915 </w:t>
            </w:r>
          </w:p>
        </w:tc>
        <w:tc>
          <w:tcPr>
            <w:tcW w:w="1540" w:type="dxa"/>
            <w:tcBorders>
              <w:top w:val="nil"/>
              <w:left w:val="nil"/>
              <w:bottom w:val="single" w:sz="4" w:space="0" w:color="auto"/>
              <w:right w:val="single" w:sz="4" w:space="0" w:color="auto"/>
            </w:tcBorders>
            <w:shd w:val="clear" w:color="auto" w:fill="auto"/>
            <w:noWrap/>
            <w:vAlign w:val="center"/>
            <w:hideMark/>
          </w:tcPr>
          <w:p w14:paraId="6856155A" w14:textId="77777777" w:rsidR="00315701" w:rsidRPr="00C63A39" w:rsidRDefault="00315701" w:rsidP="00315701">
            <w:pPr>
              <w:jc w:val="right"/>
              <w:rPr>
                <w:color w:val="000000"/>
                <w:kern w:val="22"/>
                <w:szCs w:val="22"/>
                <w:lang w:val="fr-FR" w:eastAsia="en-CA"/>
              </w:rPr>
            </w:pPr>
            <w:r w:rsidRPr="00C63A39">
              <w:rPr>
                <w:color w:val="000000"/>
                <w:kern w:val="22"/>
                <w:szCs w:val="22"/>
                <w:lang w:val="fr-FR" w:eastAsia="en-CA"/>
              </w:rPr>
              <w:t xml:space="preserve">1.144 </w:t>
            </w:r>
          </w:p>
        </w:tc>
        <w:tc>
          <w:tcPr>
            <w:tcW w:w="1540" w:type="dxa"/>
            <w:tcBorders>
              <w:top w:val="nil"/>
              <w:left w:val="nil"/>
              <w:bottom w:val="single" w:sz="4" w:space="0" w:color="auto"/>
              <w:right w:val="single" w:sz="4" w:space="0" w:color="auto"/>
            </w:tcBorders>
            <w:shd w:val="clear" w:color="auto" w:fill="auto"/>
            <w:noWrap/>
            <w:vAlign w:val="center"/>
            <w:hideMark/>
          </w:tcPr>
          <w:p w14:paraId="497E1295" w14:textId="77777777" w:rsidR="00315701" w:rsidRPr="00C63A39" w:rsidRDefault="00315701" w:rsidP="00315701">
            <w:pPr>
              <w:jc w:val="right"/>
              <w:rPr>
                <w:color w:val="000000"/>
                <w:kern w:val="22"/>
                <w:szCs w:val="22"/>
                <w:lang w:val="fr-FR" w:eastAsia="en-CA"/>
              </w:rPr>
            </w:pPr>
            <w:r w:rsidRPr="00C63A39">
              <w:rPr>
                <w:color w:val="000000"/>
                <w:kern w:val="22"/>
                <w:szCs w:val="22"/>
                <w:lang w:val="fr-FR" w:eastAsia="en-CA"/>
              </w:rPr>
              <w:t>130,442</w:t>
            </w:r>
          </w:p>
        </w:tc>
      </w:tr>
      <w:tr w:rsidR="00315701" w:rsidRPr="00C63A39" w14:paraId="08AF7C63"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6FE5EF8" w14:textId="5E5C664E" w:rsidR="00315701" w:rsidRPr="00C63A39" w:rsidRDefault="00315701" w:rsidP="00315701">
            <w:pPr>
              <w:rPr>
                <w:color w:val="000000"/>
                <w:kern w:val="22"/>
                <w:szCs w:val="22"/>
                <w:lang w:val="fr-FR" w:eastAsia="en-CA"/>
              </w:rPr>
            </w:pPr>
            <w:r w:rsidRPr="00C63A39">
              <w:rPr>
                <w:color w:val="000000"/>
                <w:kern w:val="22"/>
                <w:szCs w:val="22"/>
                <w:lang w:val="fr-FR" w:eastAsia="en-CA"/>
              </w:rPr>
              <w:t>Arm</w:t>
            </w:r>
            <w:r w:rsidR="00BC5BC9" w:rsidRPr="00C63A39">
              <w:rPr>
                <w:color w:val="000000"/>
                <w:kern w:val="22"/>
                <w:szCs w:val="22"/>
                <w:lang w:val="fr-FR" w:eastAsia="en-CA"/>
              </w:rPr>
              <w:t>énie</w:t>
            </w:r>
          </w:p>
        </w:tc>
        <w:tc>
          <w:tcPr>
            <w:tcW w:w="1540" w:type="dxa"/>
            <w:tcBorders>
              <w:top w:val="nil"/>
              <w:left w:val="nil"/>
              <w:bottom w:val="single" w:sz="4" w:space="0" w:color="auto"/>
              <w:right w:val="single" w:sz="4" w:space="0" w:color="auto"/>
            </w:tcBorders>
            <w:shd w:val="clear" w:color="auto" w:fill="auto"/>
            <w:vAlign w:val="center"/>
            <w:hideMark/>
          </w:tcPr>
          <w:p w14:paraId="478E3279" w14:textId="77777777" w:rsidR="00315701" w:rsidRPr="00C63A39" w:rsidRDefault="00315701" w:rsidP="00315701">
            <w:pPr>
              <w:jc w:val="right"/>
              <w:rPr>
                <w:color w:val="000000"/>
                <w:kern w:val="22"/>
                <w:szCs w:val="22"/>
                <w:lang w:val="fr-FR" w:eastAsia="en-CA"/>
              </w:rPr>
            </w:pPr>
            <w:r w:rsidRPr="00C63A39">
              <w:rPr>
                <w:color w:val="000000"/>
                <w:kern w:val="22"/>
                <w:szCs w:val="22"/>
                <w:lang w:val="fr-FR" w:eastAsia="en-CA"/>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14:paraId="353338C1" w14:textId="77777777" w:rsidR="00315701" w:rsidRPr="00C63A39" w:rsidRDefault="00315701" w:rsidP="00315701">
            <w:pPr>
              <w:jc w:val="right"/>
              <w:rPr>
                <w:color w:val="000000"/>
                <w:kern w:val="22"/>
                <w:szCs w:val="22"/>
                <w:lang w:val="fr-FR" w:eastAsia="en-CA"/>
              </w:rPr>
            </w:pPr>
            <w:r w:rsidRPr="00C63A39">
              <w:rPr>
                <w:color w:val="000000"/>
                <w:kern w:val="22"/>
                <w:szCs w:val="22"/>
                <w:lang w:val="fr-FR" w:eastAsia="en-CA"/>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14:paraId="09151411" w14:textId="77777777" w:rsidR="00315701" w:rsidRPr="00C63A39" w:rsidRDefault="00315701" w:rsidP="00315701">
            <w:pPr>
              <w:jc w:val="right"/>
              <w:rPr>
                <w:color w:val="000000"/>
                <w:kern w:val="22"/>
                <w:szCs w:val="22"/>
                <w:lang w:val="fr-FR" w:eastAsia="en-CA"/>
              </w:rPr>
            </w:pPr>
            <w:r w:rsidRPr="00C63A39">
              <w:rPr>
                <w:color w:val="000000"/>
                <w:kern w:val="22"/>
                <w:szCs w:val="22"/>
                <w:lang w:val="fr-FR" w:eastAsia="en-CA"/>
              </w:rPr>
              <w:t>998</w:t>
            </w:r>
          </w:p>
        </w:tc>
      </w:tr>
      <w:tr w:rsidR="00315701" w:rsidRPr="00C63A39" w14:paraId="404D008E"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F439BE2" w14:textId="00E0762D" w:rsidR="00315701" w:rsidRPr="00C63A39" w:rsidRDefault="00315701" w:rsidP="00315701">
            <w:pPr>
              <w:rPr>
                <w:color w:val="000000"/>
                <w:kern w:val="22"/>
                <w:szCs w:val="22"/>
                <w:lang w:val="fr-FR" w:eastAsia="en-CA"/>
              </w:rPr>
            </w:pPr>
            <w:r w:rsidRPr="00C63A39">
              <w:rPr>
                <w:color w:val="000000"/>
                <w:kern w:val="22"/>
                <w:szCs w:val="22"/>
                <w:lang w:val="fr-FR" w:eastAsia="en-CA"/>
              </w:rPr>
              <w:t>Australi</w:t>
            </w:r>
            <w:r w:rsidR="00BC5BC9" w:rsidRPr="00C63A39">
              <w:rPr>
                <w:color w:val="000000"/>
                <w:kern w:val="22"/>
                <w:szCs w:val="22"/>
                <w:lang w:val="fr-FR" w:eastAsia="en-CA"/>
              </w:rPr>
              <w:t>e</w:t>
            </w:r>
          </w:p>
        </w:tc>
        <w:tc>
          <w:tcPr>
            <w:tcW w:w="1540" w:type="dxa"/>
            <w:tcBorders>
              <w:top w:val="nil"/>
              <w:left w:val="nil"/>
              <w:bottom w:val="single" w:sz="4" w:space="0" w:color="auto"/>
              <w:right w:val="single" w:sz="4" w:space="0" w:color="auto"/>
            </w:tcBorders>
            <w:shd w:val="clear" w:color="auto" w:fill="auto"/>
            <w:vAlign w:val="center"/>
            <w:hideMark/>
          </w:tcPr>
          <w:p w14:paraId="6FC01699" w14:textId="77777777" w:rsidR="00315701" w:rsidRPr="00C63A39" w:rsidRDefault="00315701" w:rsidP="00315701">
            <w:pPr>
              <w:jc w:val="right"/>
              <w:rPr>
                <w:color w:val="000000"/>
                <w:kern w:val="22"/>
                <w:szCs w:val="22"/>
                <w:lang w:val="fr-FR" w:eastAsia="en-CA"/>
              </w:rPr>
            </w:pPr>
            <w:r w:rsidRPr="00C63A39">
              <w:rPr>
                <w:color w:val="000000"/>
                <w:kern w:val="22"/>
                <w:szCs w:val="22"/>
                <w:lang w:val="fr-FR" w:eastAsia="en-CA"/>
              </w:rPr>
              <w:t xml:space="preserve">2.210 </w:t>
            </w:r>
          </w:p>
        </w:tc>
        <w:tc>
          <w:tcPr>
            <w:tcW w:w="1540" w:type="dxa"/>
            <w:tcBorders>
              <w:top w:val="nil"/>
              <w:left w:val="nil"/>
              <w:bottom w:val="single" w:sz="4" w:space="0" w:color="auto"/>
              <w:right w:val="single" w:sz="4" w:space="0" w:color="auto"/>
            </w:tcBorders>
            <w:shd w:val="clear" w:color="auto" w:fill="auto"/>
            <w:noWrap/>
            <w:vAlign w:val="center"/>
            <w:hideMark/>
          </w:tcPr>
          <w:p w14:paraId="372FE232" w14:textId="77777777" w:rsidR="00315701" w:rsidRPr="00C63A39" w:rsidRDefault="00315701" w:rsidP="00315701">
            <w:pPr>
              <w:jc w:val="right"/>
              <w:rPr>
                <w:color w:val="000000"/>
                <w:kern w:val="22"/>
                <w:szCs w:val="22"/>
                <w:lang w:val="fr-FR" w:eastAsia="en-CA"/>
              </w:rPr>
            </w:pPr>
            <w:r w:rsidRPr="00C63A39">
              <w:rPr>
                <w:color w:val="000000"/>
                <w:kern w:val="22"/>
                <w:szCs w:val="22"/>
                <w:lang w:val="fr-FR" w:eastAsia="en-CA"/>
              </w:rPr>
              <w:t xml:space="preserve">2.763 </w:t>
            </w:r>
          </w:p>
        </w:tc>
        <w:tc>
          <w:tcPr>
            <w:tcW w:w="1540" w:type="dxa"/>
            <w:tcBorders>
              <w:top w:val="nil"/>
              <w:left w:val="nil"/>
              <w:bottom w:val="single" w:sz="4" w:space="0" w:color="auto"/>
              <w:right w:val="single" w:sz="4" w:space="0" w:color="auto"/>
            </w:tcBorders>
            <w:shd w:val="clear" w:color="auto" w:fill="auto"/>
            <w:noWrap/>
            <w:vAlign w:val="center"/>
            <w:hideMark/>
          </w:tcPr>
          <w:p w14:paraId="43056052" w14:textId="77777777" w:rsidR="00315701" w:rsidRPr="00C63A39" w:rsidRDefault="00315701" w:rsidP="00315701">
            <w:pPr>
              <w:jc w:val="right"/>
              <w:rPr>
                <w:color w:val="000000"/>
                <w:kern w:val="22"/>
                <w:szCs w:val="22"/>
                <w:lang w:val="fr-FR" w:eastAsia="en-CA"/>
              </w:rPr>
            </w:pPr>
            <w:r w:rsidRPr="00C63A39">
              <w:rPr>
                <w:color w:val="000000"/>
                <w:kern w:val="22"/>
                <w:szCs w:val="22"/>
                <w:lang w:val="fr-FR" w:eastAsia="en-CA"/>
              </w:rPr>
              <w:t>315,056</w:t>
            </w:r>
          </w:p>
        </w:tc>
      </w:tr>
      <w:tr w:rsidR="00315701" w:rsidRPr="00C63A39" w14:paraId="335FD5E4"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51B2E76" w14:textId="1121DCF7" w:rsidR="00315701" w:rsidRPr="00C63A39" w:rsidRDefault="00315701" w:rsidP="00315701">
            <w:pPr>
              <w:rPr>
                <w:color w:val="000000"/>
                <w:kern w:val="22"/>
                <w:szCs w:val="22"/>
                <w:lang w:val="fr-FR" w:eastAsia="en-CA"/>
              </w:rPr>
            </w:pPr>
            <w:r w:rsidRPr="00C63A39">
              <w:rPr>
                <w:color w:val="000000"/>
                <w:kern w:val="22"/>
                <w:szCs w:val="22"/>
                <w:lang w:val="fr-FR" w:eastAsia="en-CA"/>
              </w:rPr>
              <w:t>Au</w:t>
            </w:r>
            <w:r w:rsidR="00BC5BC9" w:rsidRPr="00C63A39">
              <w:rPr>
                <w:color w:val="000000"/>
                <w:kern w:val="22"/>
                <w:szCs w:val="22"/>
                <w:lang w:val="fr-FR" w:eastAsia="en-CA"/>
              </w:rPr>
              <w:t>triche</w:t>
            </w:r>
          </w:p>
        </w:tc>
        <w:tc>
          <w:tcPr>
            <w:tcW w:w="1540" w:type="dxa"/>
            <w:tcBorders>
              <w:top w:val="nil"/>
              <w:left w:val="nil"/>
              <w:bottom w:val="single" w:sz="4" w:space="0" w:color="auto"/>
              <w:right w:val="single" w:sz="4" w:space="0" w:color="auto"/>
            </w:tcBorders>
            <w:shd w:val="clear" w:color="auto" w:fill="auto"/>
            <w:vAlign w:val="center"/>
            <w:hideMark/>
          </w:tcPr>
          <w:p w14:paraId="5ED24DC4" w14:textId="77777777" w:rsidR="00315701" w:rsidRPr="00C63A39" w:rsidRDefault="00315701" w:rsidP="00315701">
            <w:pPr>
              <w:jc w:val="right"/>
              <w:rPr>
                <w:color w:val="000000"/>
                <w:kern w:val="22"/>
                <w:szCs w:val="22"/>
                <w:lang w:val="fr-FR" w:eastAsia="en-CA"/>
              </w:rPr>
            </w:pPr>
            <w:r w:rsidRPr="00C63A39">
              <w:rPr>
                <w:color w:val="000000"/>
                <w:kern w:val="22"/>
                <w:szCs w:val="22"/>
                <w:lang w:val="fr-FR" w:eastAsia="en-CA"/>
              </w:rPr>
              <w:t xml:space="preserve">0.677 </w:t>
            </w:r>
          </w:p>
        </w:tc>
        <w:tc>
          <w:tcPr>
            <w:tcW w:w="1540" w:type="dxa"/>
            <w:tcBorders>
              <w:top w:val="nil"/>
              <w:left w:val="nil"/>
              <w:bottom w:val="single" w:sz="4" w:space="0" w:color="auto"/>
              <w:right w:val="single" w:sz="4" w:space="0" w:color="auto"/>
            </w:tcBorders>
            <w:shd w:val="clear" w:color="auto" w:fill="auto"/>
            <w:noWrap/>
            <w:vAlign w:val="center"/>
            <w:hideMark/>
          </w:tcPr>
          <w:p w14:paraId="44FE3D6E" w14:textId="77777777" w:rsidR="00315701" w:rsidRPr="00C63A39" w:rsidRDefault="00315701" w:rsidP="00315701">
            <w:pPr>
              <w:jc w:val="right"/>
              <w:rPr>
                <w:color w:val="000000"/>
                <w:kern w:val="22"/>
                <w:szCs w:val="22"/>
                <w:lang w:val="fr-FR" w:eastAsia="en-CA"/>
              </w:rPr>
            </w:pPr>
            <w:r w:rsidRPr="00C63A39">
              <w:rPr>
                <w:color w:val="000000"/>
                <w:kern w:val="22"/>
                <w:szCs w:val="22"/>
                <w:lang w:val="fr-FR" w:eastAsia="en-CA"/>
              </w:rPr>
              <w:t xml:space="preserve">0.846 </w:t>
            </w:r>
          </w:p>
        </w:tc>
        <w:tc>
          <w:tcPr>
            <w:tcW w:w="1540" w:type="dxa"/>
            <w:tcBorders>
              <w:top w:val="nil"/>
              <w:left w:val="nil"/>
              <w:bottom w:val="single" w:sz="4" w:space="0" w:color="auto"/>
              <w:right w:val="single" w:sz="4" w:space="0" w:color="auto"/>
            </w:tcBorders>
            <w:shd w:val="clear" w:color="auto" w:fill="auto"/>
            <w:noWrap/>
            <w:vAlign w:val="center"/>
            <w:hideMark/>
          </w:tcPr>
          <w:p w14:paraId="68878E02" w14:textId="77777777" w:rsidR="00315701" w:rsidRPr="00C63A39" w:rsidRDefault="00315701" w:rsidP="00315701">
            <w:pPr>
              <w:jc w:val="right"/>
              <w:rPr>
                <w:color w:val="000000"/>
                <w:kern w:val="22"/>
                <w:szCs w:val="22"/>
                <w:lang w:val="fr-FR" w:eastAsia="en-CA"/>
              </w:rPr>
            </w:pPr>
            <w:r w:rsidRPr="00C63A39">
              <w:rPr>
                <w:color w:val="000000"/>
                <w:kern w:val="22"/>
                <w:szCs w:val="22"/>
                <w:lang w:val="fr-FR" w:eastAsia="en-CA"/>
              </w:rPr>
              <w:t>96,513</w:t>
            </w:r>
          </w:p>
        </w:tc>
      </w:tr>
      <w:tr w:rsidR="00315701" w:rsidRPr="00C63A39" w14:paraId="3C53A362"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E9D6CA2" w14:textId="06E76F4F" w:rsidR="00315701" w:rsidRPr="00C63A39" w:rsidRDefault="00315701" w:rsidP="00315701">
            <w:pPr>
              <w:rPr>
                <w:color w:val="000000"/>
                <w:kern w:val="22"/>
                <w:szCs w:val="22"/>
                <w:lang w:val="fr-FR" w:eastAsia="en-CA"/>
              </w:rPr>
            </w:pPr>
            <w:r w:rsidRPr="00C63A39">
              <w:rPr>
                <w:color w:val="000000"/>
                <w:kern w:val="22"/>
                <w:szCs w:val="22"/>
                <w:lang w:val="fr-FR" w:eastAsia="en-CA"/>
              </w:rPr>
              <w:t>Azerba</w:t>
            </w:r>
            <w:r w:rsidR="00BC5BC9" w:rsidRPr="00C63A39">
              <w:rPr>
                <w:color w:val="000000"/>
                <w:kern w:val="22"/>
                <w:szCs w:val="22"/>
                <w:lang w:val="fr-FR" w:eastAsia="en-CA"/>
              </w:rPr>
              <w:t>ïdjan</w:t>
            </w:r>
          </w:p>
        </w:tc>
        <w:tc>
          <w:tcPr>
            <w:tcW w:w="1540" w:type="dxa"/>
            <w:tcBorders>
              <w:top w:val="nil"/>
              <w:left w:val="nil"/>
              <w:bottom w:val="single" w:sz="4" w:space="0" w:color="auto"/>
              <w:right w:val="single" w:sz="4" w:space="0" w:color="auto"/>
            </w:tcBorders>
            <w:shd w:val="clear" w:color="auto" w:fill="auto"/>
            <w:vAlign w:val="center"/>
            <w:hideMark/>
          </w:tcPr>
          <w:p w14:paraId="785D76C3" w14:textId="77777777" w:rsidR="00315701" w:rsidRPr="00C63A39" w:rsidRDefault="00315701" w:rsidP="00315701">
            <w:pPr>
              <w:jc w:val="right"/>
              <w:rPr>
                <w:color w:val="000000"/>
                <w:kern w:val="22"/>
                <w:szCs w:val="22"/>
                <w:lang w:val="fr-FR" w:eastAsia="en-CA"/>
              </w:rPr>
            </w:pPr>
            <w:r w:rsidRPr="00C63A39">
              <w:rPr>
                <w:color w:val="000000"/>
                <w:kern w:val="22"/>
                <w:szCs w:val="22"/>
                <w:lang w:val="fr-FR" w:eastAsia="en-CA"/>
              </w:rPr>
              <w:t xml:space="preserve">0.049 </w:t>
            </w:r>
          </w:p>
        </w:tc>
        <w:tc>
          <w:tcPr>
            <w:tcW w:w="1540" w:type="dxa"/>
            <w:tcBorders>
              <w:top w:val="nil"/>
              <w:left w:val="nil"/>
              <w:bottom w:val="single" w:sz="4" w:space="0" w:color="auto"/>
              <w:right w:val="single" w:sz="4" w:space="0" w:color="auto"/>
            </w:tcBorders>
            <w:shd w:val="clear" w:color="auto" w:fill="auto"/>
            <w:noWrap/>
            <w:vAlign w:val="center"/>
            <w:hideMark/>
          </w:tcPr>
          <w:p w14:paraId="34A2170B" w14:textId="77777777" w:rsidR="00315701" w:rsidRPr="00C63A39" w:rsidRDefault="00315701" w:rsidP="00315701">
            <w:pPr>
              <w:jc w:val="right"/>
              <w:rPr>
                <w:color w:val="000000"/>
                <w:kern w:val="22"/>
                <w:szCs w:val="22"/>
                <w:lang w:val="fr-FR" w:eastAsia="en-CA"/>
              </w:rPr>
            </w:pPr>
            <w:r w:rsidRPr="00C63A39">
              <w:rPr>
                <w:color w:val="000000"/>
                <w:kern w:val="22"/>
                <w:szCs w:val="22"/>
                <w:lang w:val="fr-FR" w:eastAsia="en-CA"/>
              </w:rPr>
              <w:t xml:space="preserve">0.061 </w:t>
            </w:r>
          </w:p>
        </w:tc>
        <w:tc>
          <w:tcPr>
            <w:tcW w:w="1540" w:type="dxa"/>
            <w:tcBorders>
              <w:top w:val="nil"/>
              <w:left w:val="nil"/>
              <w:bottom w:val="single" w:sz="4" w:space="0" w:color="auto"/>
              <w:right w:val="single" w:sz="4" w:space="0" w:color="auto"/>
            </w:tcBorders>
            <w:shd w:val="clear" w:color="auto" w:fill="auto"/>
            <w:noWrap/>
            <w:vAlign w:val="center"/>
            <w:hideMark/>
          </w:tcPr>
          <w:p w14:paraId="495AD2BE" w14:textId="77777777" w:rsidR="00315701" w:rsidRPr="00C63A39" w:rsidRDefault="00315701" w:rsidP="00315701">
            <w:pPr>
              <w:jc w:val="right"/>
              <w:rPr>
                <w:color w:val="000000"/>
                <w:kern w:val="22"/>
                <w:szCs w:val="22"/>
                <w:lang w:val="fr-FR" w:eastAsia="en-CA"/>
              </w:rPr>
            </w:pPr>
            <w:r w:rsidRPr="00C63A39">
              <w:rPr>
                <w:color w:val="000000"/>
                <w:kern w:val="22"/>
                <w:szCs w:val="22"/>
                <w:lang w:val="fr-FR" w:eastAsia="en-CA"/>
              </w:rPr>
              <w:t>6,985</w:t>
            </w:r>
          </w:p>
        </w:tc>
      </w:tr>
      <w:tr w:rsidR="00315701" w:rsidRPr="00C63A39" w14:paraId="73ED3676"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FAFB0B4" w14:textId="77777777" w:rsidR="00315701" w:rsidRPr="00C63A39" w:rsidRDefault="00315701" w:rsidP="00315701">
            <w:pPr>
              <w:rPr>
                <w:color w:val="000000"/>
                <w:kern w:val="22"/>
                <w:szCs w:val="22"/>
                <w:lang w:val="fr-FR" w:eastAsia="en-CA"/>
              </w:rPr>
            </w:pPr>
            <w:r w:rsidRPr="00C63A39">
              <w:rPr>
                <w:color w:val="000000"/>
                <w:kern w:val="22"/>
                <w:szCs w:val="22"/>
                <w:lang w:val="fr-FR" w:eastAsia="en-CA"/>
              </w:rPr>
              <w:t>Bahamas</w:t>
            </w:r>
          </w:p>
        </w:tc>
        <w:tc>
          <w:tcPr>
            <w:tcW w:w="1540" w:type="dxa"/>
            <w:tcBorders>
              <w:top w:val="nil"/>
              <w:left w:val="nil"/>
              <w:bottom w:val="single" w:sz="4" w:space="0" w:color="auto"/>
              <w:right w:val="single" w:sz="4" w:space="0" w:color="auto"/>
            </w:tcBorders>
            <w:shd w:val="clear" w:color="auto" w:fill="auto"/>
            <w:vAlign w:val="center"/>
            <w:hideMark/>
          </w:tcPr>
          <w:p w14:paraId="421ADBE2" w14:textId="77777777" w:rsidR="00315701" w:rsidRPr="00C63A39" w:rsidRDefault="00315701" w:rsidP="00315701">
            <w:pPr>
              <w:jc w:val="right"/>
              <w:rPr>
                <w:color w:val="000000"/>
                <w:kern w:val="22"/>
                <w:szCs w:val="22"/>
                <w:lang w:val="fr-FR" w:eastAsia="en-CA"/>
              </w:rPr>
            </w:pPr>
            <w:r w:rsidRPr="00C63A39">
              <w:rPr>
                <w:color w:val="000000"/>
                <w:kern w:val="22"/>
                <w:szCs w:val="22"/>
                <w:lang w:val="fr-FR" w:eastAsia="en-CA"/>
              </w:rPr>
              <w:t xml:space="preserve">0.018 </w:t>
            </w:r>
          </w:p>
        </w:tc>
        <w:tc>
          <w:tcPr>
            <w:tcW w:w="1540" w:type="dxa"/>
            <w:tcBorders>
              <w:top w:val="nil"/>
              <w:left w:val="nil"/>
              <w:bottom w:val="single" w:sz="4" w:space="0" w:color="auto"/>
              <w:right w:val="single" w:sz="4" w:space="0" w:color="auto"/>
            </w:tcBorders>
            <w:shd w:val="clear" w:color="auto" w:fill="auto"/>
            <w:noWrap/>
            <w:vAlign w:val="center"/>
            <w:hideMark/>
          </w:tcPr>
          <w:p w14:paraId="1B72358F" w14:textId="77777777" w:rsidR="00315701" w:rsidRPr="00C63A39" w:rsidRDefault="00315701" w:rsidP="00315701">
            <w:pPr>
              <w:jc w:val="right"/>
              <w:rPr>
                <w:color w:val="000000"/>
                <w:kern w:val="22"/>
                <w:szCs w:val="22"/>
                <w:lang w:val="fr-FR" w:eastAsia="en-CA"/>
              </w:rPr>
            </w:pPr>
            <w:r w:rsidRPr="00C63A39">
              <w:rPr>
                <w:color w:val="000000"/>
                <w:kern w:val="22"/>
                <w:szCs w:val="22"/>
                <w:lang w:val="fr-FR" w:eastAsia="en-CA"/>
              </w:rPr>
              <w:t xml:space="preserve">0.023 </w:t>
            </w:r>
          </w:p>
        </w:tc>
        <w:tc>
          <w:tcPr>
            <w:tcW w:w="1540" w:type="dxa"/>
            <w:tcBorders>
              <w:top w:val="nil"/>
              <w:left w:val="nil"/>
              <w:bottom w:val="single" w:sz="4" w:space="0" w:color="auto"/>
              <w:right w:val="single" w:sz="4" w:space="0" w:color="auto"/>
            </w:tcBorders>
            <w:shd w:val="clear" w:color="auto" w:fill="auto"/>
            <w:noWrap/>
            <w:vAlign w:val="center"/>
            <w:hideMark/>
          </w:tcPr>
          <w:p w14:paraId="077D7B3B" w14:textId="77777777" w:rsidR="00315701" w:rsidRPr="00C63A39" w:rsidRDefault="00315701" w:rsidP="00315701">
            <w:pPr>
              <w:jc w:val="right"/>
              <w:rPr>
                <w:color w:val="000000"/>
                <w:kern w:val="22"/>
                <w:szCs w:val="22"/>
                <w:lang w:val="fr-FR" w:eastAsia="en-CA"/>
              </w:rPr>
            </w:pPr>
            <w:r w:rsidRPr="00C63A39">
              <w:rPr>
                <w:color w:val="000000"/>
                <w:kern w:val="22"/>
                <w:szCs w:val="22"/>
                <w:lang w:val="fr-FR" w:eastAsia="en-CA"/>
              </w:rPr>
              <w:t>2,566</w:t>
            </w:r>
          </w:p>
        </w:tc>
      </w:tr>
      <w:tr w:rsidR="00315701" w:rsidRPr="00C63A39" w14:paraId="57C8F1DA"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E4F3743" w14:textId="464267BC" w:rsidR="00315701" w:rsidRPr="00C63A39" w:rsidRDefault="00315701" w:rsidP="00315701">
            <w:pPr>
              <w:rPr>
                <w:color w:val="000000"/>
                <w:kern w:val="22"/>
                <w:szCs w:val="22"/>
                <w:lang w:val="fr-FR" w:eastAsia="en-CA"/>
              </w:rPr>
            </w:pPr>
            <w:r w:rsidRPr="00C63A39">
              <w:rPr>
                <w:color w:val="000000"/>
                <w:kern w:val="22"/>
                <w:szCs w:val="22"/>
                <w:lang w:val="fr-FR" w:eastAsia="en-CA"/>
              </w:rPr>
              <w:t>Bahr</w:t>
            </w:r>
            <w:r w:rsidR="00BC5BC9" w:rsidRPr="00C63A39">
              <w:rPr>
                <w:color w:val="000000"/>
                <w:kern w:val="22"/>
                <w:szCs w:val="22"/>
                <w:lang w:val="fr-FR" w:eastAsia="en-CA"/>
              </w:rPr>
              <w:t>eïn</w:t>
            </w:r>
          </w:p>
        </w:tc>
        <w:tc>
          <w:tcPr>
            <w:tcW w:w="1540" w:type="dxa"/>
            <w:tcBorders>
              <w:top w:val="nil"/>
              <w:left w:val="nil"/>
              <w:bottom w:val="single" w:sz="4" w:space="0" w:color="auto"/>
              <w:right w:val="single" w:sz="4" w:space="0" w:color="auto"/>
            </w:tcBorders>
            <w:shd w:val="clear" w:color="auto" w:fill="auto"/>
            <w:vAlign w:val="center"/>
            <w:hideMark/>
          </w:tcPr>
          <w:p w14:paraId="700802D8" w14:textId="77777777" w:rsidR="00315701" w:rsidRPr="00C63A39" w:rsidRDefault="00315701" w:rsidP="00315701">
            <w:pPr>
              <w:jc w:val="right"/>
              <w:rPr>
                <w:color w:val="000000"/>
                <w:kern w:val="22"/>
                <w:szCs w:val="22"/>
                <w:lang w:val="fr-FR" w:eastAsia="en-CA"/>
              </w:rPr>
            </w:pPr>
            <w:r w:rsidRPr="00C63A39">
              <w:rPr>
                <w:color w:val="000000"/>
                <w:kern w:val="22"/>
                <w:szCs w:val="22"/>
                <w:lang w:val="fr-FR" w:eastAsia="en-CA"/>
              </w:rPr>
              <w:t xml:space="preserve">0.050 </w:t>
            </w:r>
          </w:p>
        </w:tc>
        <w:tc>
          <w:tcPr>
            <w:tcW w:w="1540" w:type="dxa"/>
            <w:tcBorders>
              <w:top w:val="nil"/>
              <w:left w:val="nil"/>
              <w:bottom w:val="single" w:sz="4" w:space="0" w:color="auto"/>
              <w:right w:val="single" w:sz="4" w:space="0" w:color="auto"/>
            </w:tcBorders>
            <w:shd w:val="clear" w:color="auto" w:fill="auto"/>
            <w:noWrap/>
            <w:vAlign w:val="center"/>
            <w:hideMark/>
          </w:tcPr>
          <w:p w14:paraId="7E61FBE5" w14:textId="77777777" w:rsidR="00315701" w:rsidRPr="00C63A39" w:rsidRDefault="00315701" w:rsidP="00315701">
            <w:pPr>
              <w:jc w:val="right"/>
              <w:rPr>
                <w:color w:val="000000"/>
                <w:kern w:val="22"/>
                <w:szCs w:val="22"/>
                <w:lang w:val="fr-FR" w:eastAsia="en-CA"/>
              </w:rPr>
            </w:pPr>
            <w:r w:rsidRPr="00C63A39">
              <w:rPr>
                <w:color w:val="000000"/>
                <w:kern w:val="22"/>
                <w:szCs w:val="22"/>
                <w:lang w:val="fr-FR" w:eastAsia="en-CA"/>
              </w:rPr>
              <w:t xml:space="preserve">0.063 </w:t>
            </w:r>
          </w:p>
        </w:tc>
        <w:tc>
          <w:tcPr>
            <w:tcW w:w="1540" w:type="dxa"/>
            <w:tcBorders>
              <w:top w:val="nil"/>
              <w:left w:val="nil"/>
              <w:bottom w:val="single" w:sz="4" w:space="0" w:color="auto"/>
              <w:right w:val="single" w:sz="4" w:space="0" w:color="auto"/>
            </w:tcBorders>
            <w:shd w:val="clear" w:color="auto" w:fill="auto"/>
            <w:noWrap/>
            <w:vAlign w:val="center"/>
            <w:hideMark/>
          </w:tcPr>
          <w:p w14:paraId="100981E5" w14:textId="77777777" w:rsidR="00315701" w:rsidRPr="00C63A39" w:rsidRDefault="00315701" w:rsidP="00315701">
            <w:pPr>
              <w:jc w:val="right"/>
              <w:rPr>
                <w:color w:val="000000"/>
                <w:kern w:val="22"/>
                <w:szCs w:val="22"/>
                <w:lang w:val="fr-FR" w:eastAsia="en-CA"/>
              </w:rPr>
            </w:pPr>
            <w:r w:rsidRPr="00C63A39">
              <w:rPr>
                <w:color w:val="000000"/>
                <w:kern w:val="22"/>
                <w:szCs w:val="22"/>
                <w:lang w:val="fr-FR" w:eastAsia="en-CA"/>
              </w:rPr>
              <w:t>7,128</w:t>
            </w:r>
          </w:p>
        </w:tc>
      </w:tr>
      <w:tr w:rsidR="00315701" w:rsidRPr="00C63A39" w14:paraId="0B90E81C"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2F312DC" w14:textId="77777777" w:rsidR="00315701" w:rsidRPr="00C63A39" w:rsidRDefault="00315701" w:rsidP="00315701">
            <w:pPr>
              <w:rPr>
                <w:color w:val="000000"/>
                <w:kern w:val="22"/>
                <w:szCs w:val="22"/>
                <w:lang w:val="fr-FR" w:eastAsia="en-CA"/>
              </w:rPr>
            </w:pPr>
            <w:r w:rsidRPr="00C63A39">
              <w:rPr>
                <w:color w:val="000000"/>
                <w:kern w:val="22"/>
                <w:szCs w:val="22"/>
                <w:lang w:val="fr-FR" w:eastAsia="en-CA"/>
              </w:rPr>
              <w:t>Bangladesh</w:t>
            </w:r>
          </w:p>
        </w:tc>
        <w:tc>
          <w:tcPr>
            <w:tcW w:w="1540" w:type="dxa"/>
            <w:tcBorders>
              <w:top w:val="nil"/>
              <w:left w:val="nil"/>
              <w:bottom w:val="single" w:sz="4" w:space="0" w:color="auto"/>
              <w:right w:val="single" w:sz="4" w:space="0" w:color="auto"/>
            </w:tcBorders>
            <w:shd w:val="clear" w:color="auto" w:fill="auto"/>
            <w:vAlign w:val="center"/>
            <w:hideMark/>
          </w:tcPr>
          <w:p w14:paraId="52275385" w14:textId="77777777" w:rsidR="00315701" w:rsidRPr="00C63A39" w:rsidRDefault="00315701" w:rsidP="00315701">
            <w:pPr>
              <w:jc w:val="right"/>
              <w:rPr>
                <w:color w:val="000000"/>
                <w:kern w:val="22"/>
                <w:szCs w:val="22"/>
                <w:lang w:val="fr-FR" w:eastAsia="en-CA"/>
              </w:rPr>
            </w:pPr>
            <w:r w:rsidRPr="00C63A39">
              <w:rPr>
                <w:color w:val="000000"/>
                <w:kern w:val="22"/>
                <w:szCs w:val="22"/>
                <w:lang w:val="fr-FR"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49BBE7BD" w14:textId="77777777" w:rsidR="00315701" w:rsidRPr="00C63A39" w:rsidRDefault="00315701" w:rsidP="00315701">
            <w:pPr>
              <w:jc w:val="right"/>
              <w:rPr>
                <w:color w:val="000000"/>
                <w:kern w:val="22"/>
                <w:szCs w:val="22"/>
                <w:lang w:val="fr-FR" w:eastAsia="en-CA"/>
              </w:rPr>
            </w:pPr>
            <w:r w:rsidRPr="00C63A39">
              <w:rPr>
                <w:color w:val="000000"/>
                <w:kern w:val="22"/>
                <w:szCs w:val="22"/>
                <w:lang w:val="fr-FR"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48B61002" w14:textId="77777777" w:rsidR="00315701" w:rsidRPr="00C63A39" w:rsidRDefault="00315701" w:rsidP="00315701">
            <w:pPr>
              <w:jc w:val="right"/>
              <w:rPr>
                <w:color w:val="000000"/>
                <w:kern w:val="22"/>
                <w:szCs w:val="22"/>
                <w:lang w:val="fr-FR" w:eastAsia="en-CA"/>
              </w:rPr>
            </w:pPr>
            <w:r w:rsidRPr="00C63A39">
              <w:rPr>
                <w:color w:val="000000"/>
                <w:kern w:val="22"/>
                <w:szCs w:val="22"/>
                <w:lang w:val="fr-FR" w:eastAsia="en-CA"/>
              </w:rPr>
              <w:t>1,140</w:t>
            </w:r>
          </w:p>
        </w:tc>
      </w:tr>
      <w:tr w:rsidR="00315701" w:rsidRPr="00C63A39" w14:paraId="5A18444C"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125234F" w14:textId="3EF8F3CA" w:rsidR="00315701" w:rsidRPr="00C63A39" w:rsidRDefault="00315701" w:rsidP="00315701">
            <w:pPr>
              <w:rPr>
                <w:color w:val="000000"/>
                <w:kern w:val="22"/>
                <w:szCs w:val="22"/>
                <w:lang w:val="fr-FR" w:eastAsia="en-CA"/>
              </w:rPr>
            </w:pPr>
            <w:r w:rsidRPr="00C63A39">
              <w:rPr>
                <w:color w:val="000000"/>
                <w:kern w:val="22"/>
                <w:szCs w:val="22"/>
                <w:lang w:val="fr-FR" w:eastAsia="en-CA"/>
              </w:rPr>
              <w:t>Barbad</w:t>
            </w:r>
            <w:r w:rsidR="00BC5BC9" w:rsidRPr="00C63A39">
              <w:rPr>
                <w:color w:val="000000"/>
                <w:kern w:val="22"/>
                <w:szCs w:val="22"/>
                <w:lang w:val="fr-FR" w:eastAsia="en-CA"/>
              </w:rPr>
              <w:t>e</w:t>
            </w:r>
          </w:p>
        </w:tc>
        <w:tc>
          <w:tcPr>
            <w:tcW w:w="1540" w:type="dxa"/>
            <w:tcBorders>
              <w:top w:val="nil"/>
              <w:left w:val="nil"/>
              <w:bottom w:val="single" w:sz="4" w:space="0" w:color="auto"/>
              <w:right w:val="single" w:sz="4" w:space="0" w:color="auto"/>
            </w:tcBorders>
            <w:shd w:val="clear" w:color="auto" w:fill="auto"/>
            <w:vAlign w:val="center"/>
            <w:hideMark/>
          </w:tcPr>
          <w:p w14:paraId="18C85CD4" w14:textId="77777777" w:rsidR="00315701" w:rsidRPr="00C63A39" w:rsidRDefault="00315701" w:rsidP="00315701">
            <w:pPr>
              <w:jc w:val="right"/>
              <w:rPr>
                <w:color w:val="000000"/>
                <w:kern w:val="22"/>
                <w:szCs w:val="22"/>
                <w:lang w:val="fr-FR" w:eastAsia="en-CA"/>
              </w:rPr>
            </w:pPr>
            <w:r w:rsidRPr="00C63A39">
              <w:rPr>
                <w:color w:val="000000"/>
                <w:kern w:val="22"/>
                <w:szCs w:val="22"/>
                <w:lang w:val="fr-FR" w:eastAsia="en-CA"/>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14:paraId="599DDD4C" w14:textId="77777777" w:rsidR="00315701" w:rsidRPr="00C63A39" w:rsidRDefault="00315701" w:rsidP="00315701">
            <w:pPr>
              <w:jc w:val="right"/>
              <w:rPr>
                <w:color w:val="000000"/>
                <w:kern w:val="22"/>
                <w:szCs w:val="22"/>
                <w:lang w:val="fr-FR" w:eastAsia="en-CA"/>
              </w:rPr>
            </w:pPr>
            <w:r w:rsidRPr="00C63A39">
              <w:rPr>
                <w:color w:val="000000"/>
                <w:kern w:val="22"/>
                <w:szCs w:val="22"/>
                <w:lang w:val="fr-FR" w:eastAsia="en-CA"/>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14:paraId="183F93DD" w14:textId="77777777" w:rsidR="00315701" w:rsidRPr="00C63A39" w:rsidRDefault="00315701" w:rsidP="00315701">
            <w:pPr>
              <w:jc w:val="right"/>
              <w:rPr>
                <w:color w:val="000000"/>
                <w:kern w:val="22"/>
                <w:szCs w:val="22"/>
                <w:lang w:val="fr-FR" w:eastAsia="en-CA"/>
              </w:rPr>
            </w:pPr>
            <w:r w:rsidRPr="00C63A39">
              <w:rPr>
                <w:color w:val="000000"/>
                <w:kern w:val="22"/>
                <w:szCs w:val="22"/>
                <w:lang w:val="fr-FR" w:eastAsia="en-CA"/>
              </w:rPr>
              <w:t>998</w:t>
            </w:r>
          </w:p>
        </w:tc>
      </w:tr>
      <w:tr w:rsidR="00315701" w:rsidRPr="00C63A39" w14:paraId="22CF3EF6"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0010E98" w14:textId="16AEC7FE" w:rsidR="00315701" w:rsidRPr="00C63A39" w:rsidRDefault="00315701" w:rsidP="00315701">
            <w:pPr>
              <w:rPr>
                <w:color w:val="000000"/>
                <w:kern w:val="22"/>
                <w:szCs w:val="22"/>
                <w:lang w:val="fr-FR" w:eastAsia="en-CA"/>
              </w:rPr>
            </w:pPr>
            <w:r w:rsidRPr="00C63A39">
              <w:rPr>
                <w:color w:val="000000"/>
                <w:kern w:val="22"/>
                <w:szCs w:val="22"/>
                <w:lang w:val="fr-FR" w:eastAsia="en-CA"/>
              </w:rPr>
              <w:t>B</w:t>
            </w:r>
            <w:r w:rsidR="00BC5BC9" w:rsidRPr="00C63A39">
              <w:rPr>
                <w:color w:val="000000"/>
                <w:kern w:val="22"/>
                <w:szCs w:val="22"/>
                <w:lang w:val="fr-FR" w:eastAsia="en-CA"/>
              </w:rPr>
              <w:t>iélorussie</w:t>
            </w:r>
          </w:p>
        </w:tc>
        <w:tc>
          <w:tcPr>
            <w:tcW w:w="1540" w:type="dxa"/>
            <w:tcBorders>
              <w:top w:val="nil"/>
              <w:left w:val="nil"/>
              <w:bottom w:val="single" w:sz="4" w:space="0" w:color="auto"/>
              <w:right w:val="single" w:sz="4" w:space="0" w:color="auto"/>
            </w:tcBorders>
            <w:shd w:val="clear" w:color="auto" w:fill="auto"/>
            <w:vAlign w:val="center"/>
            <w:hideMark/>
          </w:tcPr>
          <w:p w14:paraId="7399C823" w14:textId="77777777" w:rsidR="00315701" w:rsidRPr="00C63A39" w:rsidRDefault="00315701" w:rsidP="00315701">
            <w:pPr>
              <w:jc w:val="right"/>
              <w:rPr>
                <w:color w:val="000000"/>
                <w:kern w:val="22"/>
                <w:szCs w:val="22"/>
                <w:lang w:val="fr-FR" w:eastAsia="en-CA"/>
              </w:rPr>
            </w:pPr>
            <w:r w:rsidRPr="00C63A39">
              <w:rPr>
                <w:color w:val="000000"/>
                <w:kern w:val="22"/>
                <w:szCs w:val="22"/>
                <w:lang w:val="fr-FR" w:eastAsia="en-CA"/>
              </w:rPr>
              <w:t xml:space="preserve">0.049 </w:t>
            </w:r>
          </w:p>
        </w:tc>
        <w:tc>
          <w:tcPr>
            <w:tcW w:w="1540" w:type="dxa"/>
            <w:tcBorders>
              <w:top w:val="nil"/>
              <w:left w:val="nil"/>
              <w:bottom w:val="single" w:sz="4" w:space="0" w:color="auto"/>
              <w:right w:val="single" w:sz="4" w:space="0" w:color="auto"/>
            </w:tcBorders>
            <w:shd w:val="clear" w:color="auto" w:fill="auto"/>
            <w:noWrap/>
            <w:vAlign w:val="center"/>
            <w:hideMark/>
          </w:tcPr>
          <w:p w14:paraId="6D9FEEB5" w14:textId="77777777" w:rsidR="00315701" w:rsidRPr="00C63A39" w:rsidRDefault="00315701" w:rsidP="00315701">
            <w:pPr>
              <w:jc w:val="right"/>
              <w:rPr>
                <w:color w:val="000000"/>
                <w:kern w:val="22"/>
                <w:szCs w:val="22"/>
                <w:lang w:val="fr-FR" w:eastAsia="en-CA"/>
              </w:rPr>
            </w:pPr>
            <w:r w:rsidRPr="00C63A39">
              <w:rPr>
                <w:color w:val="000000"/>
                <w:kern w:val="22"/>
                <w:szCs w:val="22"/>
                <w:lang w:val="fr-FR" w:eastAsia="en-CA"/>
              </w:rPr>
              <w:t xml:space="preserve">0.061 </w:t>
            </w:r>
          </w:p>
        </w:tc>
        <w:tc>
          <w:tcPr>
            <w:tcW w:w="1540" w:type="dxa"/>
            <w:tcBorders>
              <w:top w:val="nil"/>
              <w:left w:val="nil"/>
              <w:bottom w:val="single" w:sz="4" w:space="0" w:color="auto"/>
              <w:right w:val="single" w:sz="4" w:space="0" w:color="auto"/>
            </w:tcBorders>
            <w:shd w:val="clear" w:color="auto" w:fill="auto"/>
            <w:noWrap/>
            <w:vAlign w:val="center"/>
            <w:hideMark/>
          </w:tcPr>
          <w:p w14:paraId="2B9589AB" w14:textId="77777777" w:rsidR="00315701" w:rsidRPr="00C63A39" w:rsidRDefault="00315701" w:rsidP="00315701">
            <w:pPr>
              <w:jc w:val="right"/>
              <w:rPr>
                <w:color w:val="000000"/>
                <w:kern w:val="22"/>
                <w:szCs w:val="22"/>
                <w:lang w:val="fr-FR" w:eastAsia="en-CA"/>
              </w:rPr>
            </w:pPr>
            <w:r w:rsidRPr="00C63A39">
              <w:rPr>
                <w:color w:val="000000"/>
                <w:kern w:val="22"/>
                <w:szCs w:val="22"/>
                <w:lang w:val="fr-FR" w:eastAsia="en-CA"/>
              </w:rPr>
              <w:t>6,985</w:t>
            </w:r>
          </w:p>
        </w:tc>
      </w:tr>
      <w:tr w:rsidR="00315701" w:rsidRPr="00C63A39" w14:paraId="0AA9E6C0"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3AF350B" w14:textId="31AB3A58" w:rsidR="00315701" w:rsidRPr="00C63A39" w:rsidRDefault="00315701" w:rsidP="00315701">
            <w:pPr>
              <w:rPr>
                <w:color w:val="000000"/>
                <w:kern w:val="22"/>
                <w:szCs w:val="22"/>
                <w:lang w:val="fr-FR" w:eastAsia="en-CA"/>
              </w:rPr>
            </w:pPr>
            <w:r w:rsidRPr="00C63A39">
              <w:rPr>
                <w:color w:val="000000"/>
                <w:kern w:val="22"/>
                <w:szCs w:val="22"/>
                <w:lang w:val="fr-FR" w:eastAsia="en-CA"/>
              </w:rPr>
              <w:t>Belg</w:t>
            </w:r>
            <w:r w:rsidR="00BC5BC9" w:rsidRPr="00C63A39">
              <w:rPr>
                <w:color w:val="000000"/>
                <w:kern w:val="22"/>
                <w:szCs w:val="22"/>
                <w:lang w:val="fr-FR" w:eastAsia="en-CA"/>
              </w:rPr>
              <w:t>ique</w:t>
            </w:r>
          </w:p>
        </w:tc>
        <w:tc>
          <w:tcPr>
            <w:tcW w:w="1540" w:type="dxa"/>
            <w:tcBorders>
              <w:top w:val="nil"/>
              <w:left w:val="nil"/>
              <w:bottom w:val="single" w:sz="4" w:space="0" w:color="auto"/>
              <w:right w:val="single" w:sz="4" w:space="0" w:color="auto"/>
            </w:tcBorders>
            <w:shd w:val="clear" w:color="auto" w:fill="auto"/>
            <w:vAlign w:val="center"/>
            <w:hideMark/>
          </w:tcPr>
          <w:p w14:paraId="73929A05" w14:textId="77777777" w:rsidR="00315701" w:rsidRPr="00C63A39" w:rsidRDefault="00315701" w:rsidP="00315701">
            <w:pPr>
              <w:jc w:val="right"/>
              <w:rPr>
                <w:color w:val="000000"/>
                <w:kern w:val="22"/>
                <w:szCs w:val="22"/>
                <w:lang w:val="fr-FR" w:eastAsia="en-CA"/>
              </w:rPr>
            </w:pPr>
            <w:r w:rsidRPr="00C63A39">
              <w:rPr>
                <w:color w:val="000000"/>
                <w:kern w:val="22"/>
                <w:szCs w:val="22"/>
                <w:lang w:val="fr-FR" w:eastAsia="en-CA"/>
              </w:rPr>
              <w:t xml:space="preserve">0.821 </w:t>
            </w:r>
          </w:p>
        </w:tc>
        <w:tc>
          <w:tcPr>
            <w:tcW w:w="1540" w:type="dxa"/>
            <w:tcBorders>
              <w:top w:val="nil"/>
              <w:left w:val="nil"/>
              <w:bottom w:val="single" w:sz="4" w:space="0" w:color="auto"/>
              <w:right w:val="single" w:sz="4" w:space="0" w:color="auto"/>
            </w:tcBorders>
            <w:shd w:val="clear" w:color="auto" w:fill="auto"/>
            <w:noWrap/>
            <w:vAlign w:val="center"/>
            <w:hideMark/>
          </w:tcPr>
          <w:p w14:paraId="5A2BA667" w14:textId="77777777" w:rsidR="00315701" w:rsidRPr="00C63A39" w:rsidRDefault="00315701" w:rsidP="00315701">
            <w:pPr>
              <w:jc w:val="right"/>
              <w:rPr>
                <w:color w:val="000000"/>
                <w:kern w:val="22"/>
                <w:szCs w:val="22"/>
                <w:lang w:val="fr-FR" w:eastAsia="en-CA"/>
              </w:rPr>
            </w:pPr>
            <w:r w:rsidRPr="00C63A39">
              <w:rPr>
                <w:color w:val="000000"/>
                <w:kern w:val="22"/>
                <w:szCs w:val="22"/>
                <w:lang w:val="fr-FR" w:eastAsia="en-CA"/>
              </w:rPr>
              <w:t xml:space="preserve">1.026 </w:t>
            </w:r>
          </w:p>
        </w:tc>
        <w:tc>
          <w:tcPr>
            <w:tcW w:w="1540" w:type="dxa"/>
            <w:tcBorders>
              <w:top w:val="nil"/>
              <w:left w:val="nil"/>
              <w:bottom w:val="single" w:sz="4" w:space="0" w:color="auto"/>
              <w:right w:val="single" w:sz="4" w:space="0" w:color="auto"/>
            </w:tcBorders>
            <w:shd w:val="clear" w:color="auto" w:fill="auto"/>
            <w:noWrap/>
            <w:vAlign w:val="center"/>
            <w:hideMark/>
          </w:tcPr>
          <w:p w14:paraId="579BAF88" w14:textId="77777777" w:rsidR="00315701" w:rsidRPr="00C63A39" w:rsidRDefault="00315701" w:rsidP="00315701">
            <w:pPr>
              <w:jc w:val="right"/>
              <w:rPr>
                <w:color w:val="000000"/>
                <w:kern w:val="22"/>
                <w:szCs w:val="22"/>
                <w:lang w:val="fr-FR" w:eastAsia="en-CA"/>
              </w:rPr>
            </w:pPr>
            <w:r w:rsidRPr="00C63A39">
              <w:rPr>
                <w:color w:val="000000"/>
                <w:kern w:val="22"/>
                <w:szCs w:val="22"/>
                <w:lang w:val="fr-FR" w:eastAsia="en-CA"/>
              </w:rPr>
              <w:t>117,041</w:t>
            </w:r>
          </w:p>
        </w:tc>
      </w:tr>
      <w:tr w:rsidR="00315701" w:rsidRPr="00C63A39" w14:paraId="18779FBD"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3060E45" w14:textId="77777777" w:rsidR="00315701" w:rsidRPr="00C63A39" w:rsidRDefault="00315701" w:rsidP="00315701">
            <w:pPr>
              <w:rPr>
                <w:color w:val="000000"/>
                <w:kern w:val="22"/>
                <w:szCs w:val="22"/>
                <w:lang w:val="fr-FR" w:eastAsia="en-CA"/>
              </w:rPr>
            </w:pPr>
            <w:r w:rsidRPr="00C63A39">
              <w:rPr>
                <w:color w:val="000000"/>
                <w:kern w:val="22"/>
                <w:szCs w:val="22"/>
                <w:lang w:val="fr-FR" w:eastAsia="en-CA"/>
              </w:rPr>
              <w:t>Belize</w:t>
            </w:r>
          </w:p>
        </w:tc>
        <w:tc>
          <w:tcPr>
            <w:tcW w:w="1540" w:type="dxa"/>
            <w:tcBorders>
              <w:top w:val="nil"/>
              <w:left w:val="nil"/>
              <w:bottom w:val="single" w:sz="4" w:space="0" w:color="auto"/>
              <w:right w:val="single" w:sz="4" w:space="0" w:color="auto"/>
            </w:tcBorders>
            <w:shd w:val="clear" w:color="auto" w:fill="auto"/>
            <w:vAlign w:val="center"/>
            <w:hideMark/>
          </w:tcPr>
          <w:p w14:paraId="0A5E4197" w14:textId="77777777" w:rsidR="00315701" w:rsidRPr="00C63A39" w:rsidRDefault="00315701" w:rsidP="00315701">
            <w:pPr>
              <w:jc w:val="right"/>
              <w:rPr>
                <w:color w:val="000000"/>
                <w:kern w:val="22"/>
                <w:szCs w:val="22"/>
                <w:lang w:val="fr-FR" w:eastAsia="en-CA"/>
              </w:rPr>
            </w:pPr>
            <w:r w:rsidRPr="00C63A39">
              <w:rPr>
                <w:color w:val="000000"/>
                <w:kern w:val="22"/>
                <w:szCs w:val="22"/>
                <w:lang w:val="fr-FR"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5D06ED22" w14:textId="77777777" w:rsidR="00315701" w:rsidRPr="00C63A39" w:rsidRDefault="00315701" w:rsidP="00315701">
            <w:pPr>
              <w:jc w:val="right"/>
              <w:rPr>
                <w:color w:val="000000"/>
                <w:kern w:val="22"/>
                <w:szCs w:val="22"/>
                <w:lang w:val="fr-FR" w:eastAsia="en-CA"/>
              </w:rPr>
            </w:pPr>
            <w:r w:rsidRPr="00C63A39">
              <w:rPr>
                <w:color w:val="000000"/>
                <w:kern w:val="22"/>
                <w:szCs w:val="22"/>
                <w:lang w:val="fr-FR"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6DC422CA" w14:textId="77777777" w:rsidR="00315701" w:rsidRPr="00C63A39" w:rsidRDefault="00315701" w:rsidP="00315701">
            <w:pPr>
              <w:jc w:val="right"/>
              <w:rPr>
                <w:color w:val="000000"/>
                <w:kern w:val="22"/>
                <w:szCs w:val="22"/>
                <w:lang w:val="fr-FR" w:eastAsia="en-CA"/>
              </w:rPr>
            </w:pPr>
            <w:r w:rsidRPr="00C63A39">
              <w:rPr>
                <w:color w:val="000000"/>
                <w:kern w:val="22"/>
                <w:szCs w:val="22"/>
                <w:lang w:val="fr-FR" w:eastAsia="en-CA"/>
              </w:rPr>
              <w:t>143</w:t>
            </w:r>
          </w:p>
        </w:tc>
      </w:tr>
      <w:tr w:rsidR="00315701" w:rsidRPr="00C63A39" w14:paraId="02AE380F"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037CEFB" w14:textId="45D38ADB" w:rsidR="00315701" w:rsidRPr="00C63A39" w:rsidRDefault="00315701" w:rsidP="00315701">
            <w:pPr>
              <w:rPr>
                <w:color w:val="000000"/>
                <w:kern w:val="22"/>
                <w:szCs w:val="22"/>
                <w:lang w:val="fr-FR" w:eastAsia="en-CA"/>
              </w:rPr>
            </w:pPr>
            <w:r w:rsidRPr="00C63A39">
              <w:rPr>
                <w:color w:val="000000"/>
                <w:kern w:val="22"/>
                <w:szCs w:val="22"/>
                <w:lang w:val="fr-FR" w:eastAsia="en-CA"/>
              </w:rPr>
              <w:t>B</w:t>
            </w:r>
            <w:r w:rsidR="00BC5BC9" w:rsidRPr="00C63A39">
              <w:rPr>
                <w:color w:val="000000"/>
                <w:kern w:val="22"/>
                <w:szCs w:val="22"/>
                <w:lang w:val="fr-FR" w:eastAsia="en-CA"/>
              </w:rPr>
              <w:t>énin</w:t>
            </w:r>
          </w:p>
        </w:tc>
        <w:tc>
          <w:tcPr>
            <w:tcW w:w="1540" w:type="dxa"/>
            <w:tcBorders>
              <w:top w:val="nil"/>
              <w:left w:val="nil"/>
              <w:bottom w:val="single" w:sz="4" w:space="0" w:color="auto"/>
              <w:right w:val="single" w:sz="4" w:space="0" w:color="auto"/>
            </w:tcBorders>
            <w:shd w:val="clear" w:color="auto" w:fill="auto"/>
            <w:vAlign w:val="center"/>
            <w:hideMark/>
          </w:tcPr>
          <w:p w14:paraId="380C4B4D" w14:textId="77777777" w:rsidR="00315701" w:rsidRPr="00C63A39" w:rsidRDefault="00315701" w:rsidP="00315701">
            <w:pPr>
              <w:jc w:val="right"/>
              <w:rPr>
                <w:color w:val="000000"/>
                <w:kern w:val="22"/>
                <w:szCs w:val="22"/>
                <w:lang w:val="fr-FR" w:eastAsia="en-CA"/>
              </w:rPr>
            </w:pPr>
            <w:r w:rsidRPr="00C63A39">
              <w:rPr>
                <w:color w:val="000000"/>
                <w:kern w:val="22"/>
                <w:szCs w:val="22"/>
                <w:lang w:val="fr-FR"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4AB193D3" w14:textId="77777777" w:rsidR="00315701" w:rsidRPr="00C63A39" w:rsidRDefault="00315701" w:rsidP="00315701">
            <w:pPr>
              <w:jc w:val="right"/>
              <w:rPr>
                <w:color w:val="000000"/>
                <w:kern w:val="22"/>
                <w:szCs w:val="22"/>
                <w:lang w:val="fr-FR" w:eastAsia="en-CA"/>
              </w:rPr>
            </w:pPr>
            <w:r w:rsidRPr="00C63A39">
              <w:rPr>
                <w:color w:val="000000"/>
                <w:kern w:val="22"/>
                <w:szCs w:val="22"/>
                <w:lang w:val="fr-FR" w:eastAsia="en-CA"/>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1980F11A" w14:textId="77777777" w:rsidR="00315701" w:rsidRPr="00C63A39" w:rsidRDefault="00315701" w:rsidP="00315701">
            <w:pPr>
              <w:jc w:val="right"/>
              <w:rPr>
                <w:color w:val="000000"/>
                <w:kern w:val="22"/>
                <w:szCs w:val="22"/>
                <w:lang w:val="fr-FR" w:eastAsia="en-CA"/>
              </w:rPr>
            </w:pPr>
            <w:r w:rsidRPr="00C63A39">
              <w:rPr>
                <w:color w:val="000000"/>
                <w:kern w:val="22"/>
                <w:szCs w:val="22"/>
                <w:lang w:val="fr-FR" w:eastAsia="en-CA"/>
              </w:rPr>
              <w:t>428</w:t>
            </w:r>
          </w:p>
        </w:tc>
      </w:tr>
      <w:tr w:rsidR="00315701" w:rsidRPr="00C63A39" w14:paraId="1DF29C49"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0A9411B" w14:textId="0EAC5602" w:rsidR="00315701" w:rsidRPr="00C63A39" w:rsidRDefault="00315701" w:rsidP="00BC5BC9">
            <w:pPr>
              <w:ind w:left="720" w:hanging="720"/>
              <w:rPr>
                <w:color w:val="000000"/>
                <w:kern w:val="22"/>
                <w:szCs w:val="22"/>
                <w:lang w:val="fr-FR" w:eastAsia="en-CA"/>
              </w:rPr>
            </w:pPr>
            <w:r w:rsidRPr="00C63A39">
              <w:rPr>
                <w:color w:val="000000"/>
                <w:kern w:val="22"/>
                <w:szCs w:val="22"/>
                <w:lang w:val="fr-FR" w:eastAsia="en-CA"/>
              </w:rPr>
              <w:t>Bh</w:t>
            </w:r>
            <w:r w:rsidR="00BC5BC9" w:rsidRPr="00C63A39">
              <w:rPr>
                <w:color w:val="000000"/>
                <w:kern w:val="22"/>
                <w:szCs w:val="22"/>
                <w:lang w:val="fr-FR" w:eastAsia="en-CA"/>
              </w:rPr>
              <w:t>outan</w:t>
            </w:r>
          </w:p>
        </w:tc>
        <w:tc>
          <w:tcPr>
            <w:tcW w:w="1540" w:type="dxa"/>
            <w:tcBorders>
              <w:top w:val="nil"/>
              <w:left w:val="nil"/>
              <w:bottom w:val="single" w:sz="4" w:space="0" w:color="auto"/>
              <w:right w:val="single" w:sz="4" w:space="0" w:color="auto"/>
            </w:tcBorders>
            <w:shd w:val="clear" w:color="auto" w:fill="auto"/>
            <w:vAlign w:val="center"/>
            <w:hideMark/>
          </w:tcPr>
          <w:p w14:paraId="2833A8B7" w14:textId="77777777" w:rsidR="00315701" w:rsidRPr="00C63A39" w:rsidRDefault="00315701" w:rsidP="00315701">
            <w:pPr>
              <w:jc w:val="right"/>
              <w:rPr>
                <w:color w:val="000000"/>
                <w:kern w:val="22"/>
                <w:szCs w:val="22"/>
                <w:lang w:val="fr-FR" w:eastAsia="en-CA"/>
              </w:rPr>
            </w:pPr>
            <w:r w:rsidRPr="00C63A39">
              <w:rPr>
                <w:color w:val="000000"/>
                <w:kern w:val="22"/>
                <w:szCs w:val="22"/>
                <w:lang w:val="fr-FR"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60DC4148" w14:textId="77777777" w:rsidR="00315701" w:rsidRPr="00C63A39" w:rsidRDefault="00315701" w:rsidP="00315701">
            <w:pPr>
              <w:jc w:val="right"/>
              <w:rPr>
                <w:color w:val="000000"/>
                <w:kern w:val="22"/>
                <w:szCs w:val="22"/>
                <w:lang w:val="fr-FR" w:eastAsia="en-CA"/>
              </w:rPr>
            </w:pPr>
            <w:r w:rsidRPr="00C63A39">
              <w:rPr>
                <w:color w:val="000000"/>
                <w:kern w:val="22"/>
                <w:szCs w:val="22"/>
                <w:lang w:val="fr-FR"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7CC147F6" w14:textId="77777777" w:rsidR="00315701" w:rsidRPr="00C63A39" w:rsidRDefault="00315701" w:rsidP="00315701">
            <w:pPr>
              <w:jc w:val="right"/>
              <w:rPr>
                <w:color w:val="000000"/>
                <w:kern w:val="22"/>
                <w:szCs w:val="22"/>
                <w:lang w:val="fr-FR" w:eastAsia="en-CA"/>
              </w:rPr>
            </w:pPr>
            <w:r w:rsidRPr="00C63A39">
              <w:rPr>
                <w:color w:val="000000"/>
                <w:kern w:val="22"/>
                <w:szCs w:val="22"/>
                <w:lang w:val="fr-FR" w:eastAsia="en-CA"/>
              </w:rPr>
              <w:t>143</w:t>
            </w:r>
          </w:p>
        </w:tc>
      </w:tr>
      <w:tr w:rsidR="00315701" w:rsidRPr="00C63A39" w14:paraId="71B6EA88"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F624FFE" w14:textId="52199FB7" w:rsidR="00315701" w:rsidRPr="00C63A39" w:rsidRDefault="00BC5BC9" w:rsidP="00315701">
            <w:pPr>
              <w:rPr>
                <w:color w:val="000000"/>
                <w:kern w:val="22"/>
                <w:szCs w:val="22"/>
                <w:lang w:val="fr-FR" w:eastAsia="en-CA"/>
              </w:rPr>
            </w:pPr>
            <w:r w:rsidRPr="00C63A39">
              <w:rPr>
                <w:color w:val="000000"/>
                <w:kern w:val="22"/>
                <w:szCs w:val="22"/>
                <w:lang w:val="fr-FR" w:eastAsia="en-CA"/>
              </w:rPr>
              <w:t>Bolivie (État plurinational de)</w:t>
            </w:r>
          </w:p>
        </w:tc>
        <w:tc>
          <w:tcPr>
            <w:tcW w:w="1540" w:type="dxa"/>
            <w:tcBorders>
              <w:top w:val="nil"/>
              <w:left w:val="nil"/>
              <w:bottom w:val="single" w:sz="4" w:space="0" w:color="auto"/>
              <w:right w:val="single" w:sz="4" w:space="0" w:color="auto"/>
            </w:tcBorders>
            <w:shd w:val="clear" w:color="auto" w:fill="auto"/>
            <w:vAlign w:val="center"/>
            <w:hideMark/>
          </w:tcPr>
          <w:p w14:paraId="79A3BB4E" w14:textId="77777777" w:rsidR="00315701" w:rsidRPr="00C63A39" w:rsidRDefault="00315701" w:rsidP="00315701">
            <w:pPr>
              <w:jc w:val="right"/>
              <w:rPr>
                <w:color w:val="000000"/>
                <w:kern w:val="22"/>
                <w:szCs w:val="22"/>
                <w:lang w:val="fr-FR" w:eastAsia="en-CA"/>
              </w:rPr>
            </w:pPr>
            <w:r w:rsidRPr="00C63A39">
              <w:rPr>
                <w:color w:val="000000"/>
                <w:kern w:val="22"/>
                <w:szCs w:val="22"/>
                <w:lang w:val="fr-FR" w:eastAsia="en-CA"/>
              </w:rPr>
              <w:t xml:space="preserve">0.016 </w:t>
            </w:r>
          </w:p>
        </w:tc>
        <w:tc>
          <w:tcPr>
            <w:tcW w:w="1540" w:type="dxa"/>
            <w:tcBorders>
              <w:top w:val="nil"/>
              <w:left w:val="nil"/>
              <w:bottom w:val="single" w:sz="4" w:space="0" w:color="auto"/>
              <w:right w:val="single" w:sz="4" w:space="0" w:color="auto"/>
            </w:tcBorders>
            <w:shd w:val="clear" w:color="auto" w:fill="auto"/>
            <w:noWrap/>
            <w:vAlign w:val="center"/>
            <w:hideMark/>
          </w:tcPr>
          <w:p w14:paraId="19559F3E" w14:textId="77777777" w:rsidR="00315701" w:rsidRPr="00C63A39" w:rsidRDefault="00315701" w:rsidP="00315701">
            <w:pPr>
              <w:jc w:val="right"/>
              <w:rPr>
                <w:color w:val="000000"/>
                <w:kern w:val="22"/>
                <w:szCs w:val="22"/>
                <w:lang w:val="fr-FR" w:eastAsia="en-CA"/>
              </w:rPr>
            </w:pPr>
            <w:r w:rsidRPr="00C63A39">
              <w:rPr>
                <w:color w:val="000000"/>
                <w:kern w:val="22"/>
                <w:szCs w:val="22"/>
                <w:lang w:val="fr-FR" w:eastAsia="en-CA"/>
              </w:rPr>
              <w:t xml:space="preserve">0.020 </w:t>
            </w:r>
          </w:p>
        </w:tc>
        <w:tc>
          <w:tcPr>
            <w:tcW w:w="1540" w:type="dxa"/>
            <w:tcBorders>
              <w:top w:val="nil"/>
              <w:left w:val="nil"/>
              <w:bottom w:val="single" w:sz="4" w:space="0" w:color="auto"/>
              <w:right w:val="single" w:sz="4" w:space="0" w:color="auto"/>
            </w:tcBorders>
            <w:shd w:val="clear" w:color="auto" w:fill="auto"/>
            <w:noWrap/>
            <w:vAlign w:val="center"/>
            <w:hideMark/>
          </w:tcPr>
          <w:p w14:paraId="04CAC367" w14:textId="77777777" w:rsidR="00315701" w:rsidRPr="00C63A39" w:rsidRDefault="00315701" w:rsidP="00315701">
            <w:pPr>
              <w:jc w:val="right"/>
              <w:rPr>
                <w:color w:val="000000"/>
                <w:kern w:val="22"/>
                <w:szCs w:val="22"/>
                <w:lang w:val="fr-FR" w:eastAsia="en-CA"/>
              </w:rPr>
            </w:pPr>
            <w:r w:rsidRPr="00C63A39">
              <w:rPr>
                <w:color w:val="000000"/>
                <w:kern w:val="22"/>
                <w:szCs w:val="22"/>
                <w:lang w:val="fr-FR" w:eastAsia="en-CA"/>
              </w:rPr>
              <w:t>2,281</w:t>
            </w:r>
          </w:p>
        </w:tc>
      </w:tr>
      <w:tr w:rsidR="00315701" w:rsidRPr="00C63A39" w14:paraId="0B543665"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1505261" w14:textId="3A3AAA7D" w:rsidR="00315701" w:rsidRPr="00C63A39" w:rsidRDefault="00BC5BC9" w:rsidP="00315701">
            <w:pPr>
              <w:rPr>
                <w:color w:val="000000"/>
                <w:kern w:val="22"/>
                <w:szCs w:val="22"/>
                <w:lang w:val="fr-FR" w:eastAsia="en-CA"/>
              </w:rPr>
            </w:pPr>
            <w:r w:rsidRPr="00C63A39">
              <w:rPr>
                <w:color w:val="000000"/>
                <w:kern w:val="22"/>
                <w:szCs w:val="22"/>
                <w:lang w:val="fr-FR" w:eastAsia="en-CA"/>
              </w:rPr>
              <w:t>Bosnie-Herzégovine</w:t>
            </w:r>
          </w:p>
        </w:tc>
        <w:tc>
          <w:tcPr>
            <w:tcW w:w="1540" w:type="dxa"/>
            <w:tcBorders>
              <w:top w:val="nil"/>
              <w:left w:val="nil"/>
              <w:bottom w:val="single" w:sz="4" w:space="0" w:color="auto"/>
              <w:right w:val="single" w:sz="4" w:space="0" w:color="auto"/>
            </w:tcBorders>
            <w:shd w:val="clear" w:color="auto" w:fill="auto"/>
            <w:vAlign w:val="center"/>
            <w:hideMark/>
          </w:tcPr>
          <w:p w14:paraId="5175072A" w14:textId="77777777" w:rsidR="00315701" w:rsidRPr="00C63A39" w:rsidRDefault="00315701" w:rsidP="00315701">
            <w:pPr>
              <w:jc w:val="right"/>
              <w:rPr>
                <w:color w:val="000000"/>
                <w:kern w:val="22"/>
                <w:szCs w:val="22"/>
                <w:lang w:val="fr-FR" w:eastAsia="en-CA"/>
              </w:rPr>
            </w:pPr>
            <w:r w:rsidRPr="00C63A39">
              <w:rPr>
                <w:color w:val="000000"/>
                <w:kern w:val="22"/>
                <w:szCs w:val="22"/>
                <w:lang w:val="fr-FR" w:eastAsia="en-CA"/>
              </w:rPr>
              <w:t xml:space="preserve">0.012 </w:t>
            </w:r>
          </w:p>
        </w:tc>
        <w:tc>
          <w:tcPr>
            <w:tcW w:w="1540" w:type="dxa"/>
            <w:tcBorders>
              <w:top w:val="nil"/>
              <w:left w:val="nil"/>
              <w:bottom w:val="single" w:sz="4" w:space="0" w:color="auto"/>
              <w:right w:val="single" w:sz="4" w:space="0" w:color="auto"/>
            </w:tcBorders>
            <w:shd w:val="clear" w:color="auto" w:fill="auto"/>
            <w:noWrap/>
            <w:vAlign w:val="center"/>
            <w:hideMark/>
          </w:tcPr>
          <w:p w14:paraId="11A0AB61" w14:textId="77777777" w:rsidR="00315701" w:rsidRPr="00C63A39" w:rsidRDefault="00315701" w:rsidP="00315701">
            <w:pPr>
              <w:jc w:val="right"/>
              <w:rPr>
                <w:color w:val="000000"/>
                <w:kern w:val="22"/>
                <w:szCs w:val="22"/>
                <w:lang w:val="fr-FR" w:eastAsia="en-CA"/>
              </w:rPr>
            </w:pPr>
            <w:r w:rsidRPr="00C63A39">
              <w:rPr>
                <w:color w:val="000000"/>
                <w:kern w:val="22"/>
                <w:szCs w:val="22"/>
                <w:lang w:val="fr-FR" w:eastAsia="en-CA"/>
              </w:rPr>
              <w:t xml:space="preserve">0.015 </w:t>
            </w:r>
          </w:p>
        </w:tc>
        <w:tc>
          <w:tcPr>
            <w:tcW w:w="1540" w:type="dxa"/>
            <w:tcBorders>
              <w:top w:val="nil"/>
              <w:left w:val="nil"/>
              <w:bottom w:val="single" w:sz="4" w:space="0" w:color="auto"/>
              <w:right w:val="single" w:sz="4" w:space="0" w:color="auto"/>
            </w:tcBorders>
            <w:shd w:val="clear" w:color="auto" w:fill="auto"/>
            <w:noWrap/>
            <w:vAlign w:val="center"/>
            <w:hideMark/>
          </w:tcPr>
          <w:p w14:paraId="5BDB68E6" w14:textId="77777777" w:rsidR="00315701" w:rsidRPr="00C63A39" w:rsidRDefault="00315701" w:rsidP="00315701">
            <w:pPr>
              <w:jc w:val="right"/>
              <w:rPr>
                <w:color w:val="000000"/>
                <w:kern w:val="22"/>
                <w:szCs w:val="22"/>
                <w:lang w:val="fr-FR" w:eastAsia="en-CA"/>
              </w:rPr>
            </w:pPr>
            <w:r w:rsidRPr="00C63A39">
              <w:rPr>
                <w:color w:val="000000"/>
                <w:kern w:val="22"/>
                <w:szCs w:val="22"/>
                <w:lang w:val="fr-FR" w:eastAsia="en-CA"/>
              </w:rPr>
              <w:t>1,711</w:t>
            </w:r>
          </w:p>
        </w:tc>
      </w:tr>
      <w:tr w:rsidR="00315701" w:rsidRPr="00C63A39" w14:paraId="771DA82B"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8B77751" w14:textId="77777777" w:rsidR="00315701" w:rsidRPr="00C63A39" w:rsidRDefault="00315701" w:rsidP="00315701">
            <w:pPr>
              <w:rPr>
                <w:color w:val="000000"/>
                <w:kern w:val="22"/>
                <w:szCs w:val="22"/>
                <w:lang w:val="fr-FR" w:eastAsia="en-CA"/>
              </w:rPr>
            </w:pPr>
            <w:r w:rsidRPr="00C63A39">
              <w:rPr>
                <w:color w:val="000000"/>
                <w:kern w:val="22"/>
                <w:szCs w:val="22"/>
                <w:lang w:val="fr-FR" w:eastAsia="en-CA"/>
              </w:rPr>
              <w:t>Botswana</w:t>
            </w:r>
          </w:p>
        </w:tc>
        <w:tc>
          <w:tcPr>
            <w:tcW w:w="1540" w:type="dxa"/>
            <w:tcBorders>
              <w:top w:val="nil"/>
              <w:left w:val="nil"/>
              <w:bottom w:val="single" w:sz="4" w:space="0" w:color="auto"/>
              <w:right w:val="single" w:sz="4" w:space="0" w:color="auto"/>
            </w:tcBorders>
            <w:shd w:val="clear" w:color="auto" w:fill="auto"/>
            <w:vAlign w:val="center"/>
            <w:hideMark/>
          </w:tcPr>
          <w:p w14:paraId="716921DC" w14:textId="77777777" w:rsidR="00315701" w:rsidRPr="00C63A39" w:rsidRDefault="00315701" w:rsidP="00315701">
            <w:pPr>
              <w:jc w:val="right"/>
              <w:rPr>
                <w:color w:val="000000"/>
                <w:kern w:val="22"/>
                <w:szCs w:val="22"/>
                <w:lang w:val="fr-FR" w:eastAsia="en-CA"/>
              </w:rPr>
            </w:pPr>
            <w:r w:rsidRPr="00C63A39">
              <w:rPr>
                <w:color w:val="000000"/>
                <w:kern w:val="22"/>
                <w:szCs w:val="22"/>
                <w:lang w:val="fr-FR" w:eastAsia="en-CA"/>
              </w:rPr>
              <w:t xml:space="preserve">0.014 </w:t>
            </w:r>
          </w:p>
        </w:tc>
        <w:tc>
          <w:tcPr>
            <w:tcW w:w="1540" w:type="dxa"/>
            <w:tcBorders>
              <w:top w:val="nil"/>
              <w:left w:val="nil"/>
              <w:bottom w:val="single" w:sz="4" w:space="0" w:color="auto"/>
              <w:right w:val="single" w:sz="4" w:space="0" w:color="auto"/>
            </w:tcBorders>
            <w:shd w:val="clear" w:color="auto" w:fill="auto"/>
            <w:noWrap/>
            <w:vAlign w:val="center"/>
            <w:hideMark/>
          </w:tcPr>
          <w:p w14:paraId="6944E10B" w14:textId="77777777" w:rsidR="00315701" w:rsidRPr="00C63A39" w:rsidRDefault="00315701" w:rsidP="00315701">
            <w:pPr>
              <w:jc w:val="right"/>
              <w:rPr>
                <w:color w:val="000000"/>
                <w:kern w:val="22"/>
                <w:szCs w:val="22"/>
                <w:lang w:val="fr-FR" w:eastAsia="en-CA"/>
              </w:rPr>
            </w:pPr>
            <w:r w:rsidRPr="00C63A39">
              <w:rPr>
                <w:color w:val="000000"/>
                <w:kern w:val="22"/>
                <w:szCs w:val="22"/>
                <w:lang w:val="fr-FR" w:eastAsia="en-CA"/>
              </w:rPr>
              <w:t xml:space="preserve">0.018 </w:t>
            </w:r>
          </w:p>
        </w:tc>
        <w:tc>
          <w:tcPr>
            <w:tcW w:w="1540" w:type="dxa"/>
            <w:tcBorders>
              <w:top w:val="nil"/>
              <w:left w:val="nil"/>
              <w:bottom w:val="single" w:sz="4" w:space="0" w:color="auto"/>
              <w:right w:val="single" w:sz="4" w:space="0" w:color="auto"/>
            </w:tcBorders>
            <w:shd w:val="clear" w:color="auto" w:fill="auto"/>
            <w:noWrap/>
            <w:vAlign w:val="center"/>
            <w:hideMark/>
          </w:tcPr>
          <w:p w14:paraId="127A4109" w14:textId="77777777" w:rsidR="00315701" w:rsidRPr="00C63A39" w:rsidRDefault="00315701" w:rsidP="00315701">
            <w:pPr>
              <w:jc w:val="right"/>
              <w:rPr>
                <w:color w:val="000000"/>
                <w:kern w:val="22"/>
                <w:szCs w:val="22"/>
                <w:lang w:val="fr-FR" w:eastAsia="en-CA"/>
              </w:rPr>
            </w:pPr>
            <w:r w:rsidRPr="00C63A39">
              <w:rPr>
                <w:color w:val="000000"/>
                <w:kern w:val="22"/>
                <w:szCs w:val="22"/>
                <w:lang w:val="fr-FR" w:eastAsia="en-CA"/>
              </w:rPr>
              <w:t>1,996</w:t>
            </w:r>
          </w:p>
        </w:tc>
      </w:tr>
      <w:tr w:rsidR="00315701" w:rsidRPr="00C63A39" w14:paraId="5E353212"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7C978C6" w14:textId="4821D6E0" w:rsidR="00315701" w:rsidRPr="00C63A39" w:rsidRDefault="00BC5BC9" w:rsidP="00315701">
            <w:pPr>
              <w:rPr>
                <w:color w:val="000000"/>
                <w:kern w:val="22"/>
                <w:szCs w:val="22"/>
                <w:lang w:val="fr-FR" w:eastAsia="en-CA"/>
              </w:rPr>
            </w:pPr>
            <w:r w:rsidRPr="00C63A39">
              <w:rPr>
                <w:color w:val="000000"/>
                <w:kern w:val="22"/>
                <w:szCs w:val="22"/>
                <w:lang w:val="fr-FR" w:eastAsia="en-CA"/>
              </w:rPr>
              <w:t>Brésil</w:t>
            </w:r>
          </w:p>
        </w:tc>
        <w:tc>
          <w:tcPr>
            <w:tcW w:w="1540" w:type="dxa"/>
            <w:tcBorders>
              <w:top w:val="nil"/>
              <w:left w:val="nil"/>
              <w:bottom w:val="single" w:sz="4" w:space="0" w:color="auto"/>
              <w:right w:val="single" w:sz="4" w:space="0" w:color="auto"/>
            </w:tcBorders>
            <w:shd w:val="clear" w:color="auto" w:fill="auto"/>
            <w:vAlign w:val="center"/>
            <w:hideMark/>
          </w:tcPr>
          <w:p w14:paraId="172B2736" w14:textId="77777777" w:rsidR="00315701" w:rsidRPr="00C63A39" w:rsidRDefault="00315701" w:rsidP="00315701">
            <w:pPr>
              <w:jc w:val="right"/>
              <w:rPr>
                <w:color w:val="000000"/>
                <w:kern w:val="22"/>
                <w:szCs w:val="22"/>
                <w:lang w:val="fr-FR" w:eastAsia="en-CA"/>
              </w:rPr>
            </w:pPr>
            <w:r w:rsidRPr="00C63A39">
              <w:rPr>
                <w:color w:val="000000"/>
                <w:kern w:val="22"/>
                <w:szCs w:val="22"/>
                <w:lang w:val="fr-FR" w:eastAsia="en-CA"/>
              </w:rPr>
              <w:t xml:space="preserve">2.948 </w:t>
            </w:r>
          </w:p>
        </w:tc>
        <w:tc>
          <w:tcPr>
            <w:tcW w:w="1540" w:type="dxa"/>
            <w:tcBorders>
              <w:top w:val="nil"/>
              <w:left w:val="nil"/>
              <w:bottom w:val="single" w:sz="4" w:space="0" w:color="auto"/>
              <w:right w:val="single" w:sz="4" w:space="0" w:color="auto"/>
            </w:tcBorders>
            <w:shd w:val="clear" w:color="auto" w:fill="auto"/>
            <w:noWrap/>
            <w:vAlign w:val="center"/>
            <w:hideMark/>
          </w:tcPr>
          <w:p w14:paraId="6D8C0FF1" w14:textId="77777777" w:rsidR="00315701" w:rsidRPr="00C63A39" w:rsidRDefault="00315701" w:rsidP="00315701">
            <w:pPr>
              <w:jc w:val="right"/>
              <w:rPr>
                <w:color w:val="000000"/>
                <w:kern w:val="22"/>
                <w:szCs w:val="22"/>
                <w:lang w:val="fr-FR" w:eastAsia="en-CA"/>
              </w:rPr>
            </w:pPr>
            <w:r w:rsidRPr="00C63A39">
              <w:rPr>
                <w:color w:val="000000"/>
                <w:kern w:val="22"/>
                <w:szCs w:val="22"/>
                <w:lang w:val="fr-FR" w:eastAsia="en-CA"/>
              </w:rPr>
              <w:t xml:space="preserve">3.686 </w:t>
            </w:r>
          </w:p>
        </w:tc>
        <w:tc>
          <w:tcPr>
            <w:tcW w:w="1540" w:type="dxa"/>
            <w:tcBorders>
              <w:top w:val="nil"/>
              <w:left w:val="nil"/>
              <w:bottom w:val="single" w:sz="4" w:space="0" w:color="auto"/>
              <w:right w:val="single" w:sz="4" w:space="0" w:color="auto"/>
            </w:tcBorders>
            <w:shd w:val="clear" w:color="auto" w:fill="auto"/>
            <w:noWrap/>
            <w:vAlign w:val="center"/>
            <w:hideMark/>
          </w:tcPr>
          <w:p w14:paraId="314C7BC6" w14:textId="77777777" w:rsidR="00315701" w:rsidRPr="00C63A39" w:rsidRDefault="00315701" w:rsidP="00315701">
            <w:pPr>
              <w:jc w:val="right"/>
              <w:rPr>
                <w:color w:val="000000"/>
                <w:kern w:val="22"/>
                <w:szCs w:val="22"/>
                <w:lang w:val="fr-FR" w:eastAsia="en-CA"/>
              </w:rPr>
            </w:pPr>
            <w:r w:rsidRPr="00C63A39">
              <w:rPr>
                <w:color w:val="000000"/>
                <w:kern w:val="22"/>
                <w:szCs w:val="22"/>
                <w:lang w:val="fr-FR" w:eastAsia="en-CA"/>
              </w:rPr>
              <w:t>420,265</w:t>
            </w:r>
          </w:p>
        </w:tc>
      </w:tr>
      <w:tr w:rsidR="00315701" w:rsidRPr="00C63A39" w14:paraId="5BE312C1"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9CEBFE5" w14:textId="77777777" w:rsidR="00315701" w:rsidRPr="00C63A39" w:rsidRDefault="00315701" w:rsidP="00315701">
            <w:pPr>
              <w:rPr>
                <w:color w:val="000000"/>
                <w:kern w:val="22"/>
                <w:szCs w:val="22"/>
                <w:lang w:val="fr-FR" w:eastAsia="en-CA"/>
              </w:rPr>
            </w:pPr>
            <w:r w:rsidRPr="00C63A39">
              <w:rPr>
                <w:color w:val="000000"/>
                <w:kern w:val="22"/>
                <w:szCs w:val="22"/>
                <w:lang w:val="fr-FR" w:eastAsia="en-CA"/>
              </w:rPr>
              <w:t>Brunei-Darussalam</w:t>
            </w:r>
          </w:p>
        </w:tc>
        <w:tc>
          <w:tcPr>
            <w:tcW w:w="1540" w:type="dxa"/>
            <w:tcBorders>
              <w:top w:val="nil"/>
              <w:left w:val="nil"/>
              <w:bottom w:val="single" w:sz="4" w:space="0" w:color="auto"/>
              <w:right w:val="single" w:sz="4" w:space="0" w:color="auto"/>
            </w:tcBorders>
            <w:shd w:val="clear" w:color="auto" w:fill="auto"/>
            <w:vAlign w:val="center"/>
            <w:hideMark/>
          </w:tcPr>
          <w:p w14:paraId="4BA4887C" w14:textId="77777777" w:rsidR="00315701" w:rsidRPr="00C63A39" w:rsidRDefault="00315701" w:rsidP="00315701">
            <w:pPr>
              <w:jc w:val="right"/>
              <w:rPr>
                <w:color w:val="000000"/>
                <w:kern w:val="22"/>
                <w:szCs w:val="22"/>
                <w:lang w:val="fr-FR" w:eastAsia="en-CA"/>
              </w:rPr>
            </w:pPr>
            <w:r w:rsidRPr="00C63A39">
              <w:rPr>
                <w:color w:val="000000"/>
                <w:kern w:val="22"/>
                <w:szCs w:val="22"/>
                <w:lang w:val="fr-FR" w:eastAsia="en-CA"/>
              </w:rPr>
              <w:t xml:space="preserve">0.025 </w:t>
            </w:r>
          </w:p>
        </w:tc>
        <w:tc>
          <w:tcPr>
            <w:tcW w:w="1540" w:type="dxa"/>
            <w:tcBorders>
              <w:top w:val="nil"/>
              <w:left w:val="nil"/>
              <w:bottom w:val="single" w:sz="4" w:space="0" w:color="auto"/>
              <w:right w:val="single" w:sz="4" w:space="0" w:color="auto"/>
            </w:tcBorders>
            <w:shd w:val="clear" w:color="auto" w:fill="auto"/>
            <w:noWrap/>
            <w:vAlign w:val="center"/>
            <w:hideMark/>
          </w:tcPr>
          <w:p w14:paraId="0214E427" w14:textId="77777777" w:rsidR="00315701" w:rsidRPr="00C63A39" w:rsidRDefault="00315701" w:rsidP="00315701">
            <w:pPr>
              <w:jc w:val="right"/>
              <w:rPr>
                <w:color w:val="000000"/>
                <w:kern w:val="22"/>
                <w:szCs w:val="22"/>
                <w:lang w:val="fr-FR" w:eastAsia="en-CA"/>
              </w:rPr>
            </w:pPr>
            <w:r w:rsidRPr="00C63A39">
              <w:rPr>
                <w:color w:val="000000"/>
                <w:kern w:val="22"/>
                <w:szCs w:val="22"/>
                <w:lang w:val="fr-FR" w:eastAsia="en-CA"/>
              </w:rPr>
              <w:t xml:space="preserve">0.031 </w:t>
            </w:r>
          </w:p>
        </w:tc>
        <w:tc>
          <w:tcPr>
            <w:tcW w:w="1540" w:type="dxa"/>
            <w:tcBorders>
              <w:top w:val="nil"/>
              <w:left w:val="nil"/>
              <w:bottom w:val="single" w:sz="4" w:space="0" w:color="auto"/>
              <w:right w:val="single" w:sz="4" w:space="0" w:color="auto"/>
            </w:tcBorders>
            <w:shd w:val="clear" w:color="auto" w:fill="auto"/>
            <w:noWrap/>
            <w:vAlign w:val="center"/>
            <w:hideMark/>
          </w:tcPr>
          <w:p w14:paraId="76815D3E" w14:textId="77777777" w:rsidR="00315701" w:rsidRPr="00C63A39" w:rsidRDefault="00315701" w:rsidP="00315701">
            <w:pPr>
              <w:jc w:val="right"/>
              <w:rPr>
                <w:color w:val="000000"/>
                <w:kern w:val="22"/>
                <w:szCs w:val="22"/>
                <w:lang w:val="fr-FR" w:eastAsia="en-CA"/>
              </w:rPr>
            </w:pPr>
            <w:r w:rsidRPr="00C63A39">
              <w:rPr>
                <w:color w:val="000000"/>
                <w:kern w:val="22"/>
                <w:szCs w:val="22"/>
                <w:lang w:val="fr-FR" w:eastAsia="en-CA"/>
              </w:rPr>
              <w:t>3,564</w:t>
            </w:r>
          </w:p>
        </w:tc>
      </w:tr>
      <w:tr w:rsidR="00315701" w:rsidRPr="00C63A39" w14:paraId="1FCF8812"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1535101" w14:textId="0F043583" w:rsidR="00315701" w:rsidRPr="00C63A39" w:rsidRDefault="00315701" w:rsidP="00315701">
            <w:pPr>
              <w:rPr>
                <w:color w:val="000000"/>
                <w:kern w:val="22"/>
                <w:szCs w:val="22"/>
                <w:lang w:val="fr-FR" w:eastAsia="en-CA"/>
              </w:rPr>
            </w:pPr>
            <w:r w:rsidRPr="00C63A39">
              <w:rPr>
                <w:color w:val="000000"/>
                <w:kern w:val="22"/>
                <w:szCs w:val="22"/>
                <w:lang w:val="fr-FR" w:eastAsia="en-CA"/>
              </w:rPr>
              <w:t>Bulgari</w:t>
            </w:r>
            <w:r w:rsidR="00BC5BC9" w:rsidRPr="00C63A39">
              <w:rPr>
                <w:color w:val="000000"/>
                <w:kern w:val="22"/>
                <w:szCs w:val="22"/>
                <w:lang w:val="fr-FR" w:eastAsia="en-CA"/>
              </w:rPr>
              <w:t>e</w:t>
            </w:r>
          </w:p>
        </w:tc>
        <w:tc>
          <w:tcPr>
            <w:tcW w:w="1540" w:type="dxa"/>
            <w:tcBorders>
              <w:top w:val="nil"/>
              <w:left w:val="nil"/>
              <w:bottom w:val="single" w:sz="4" w:space="0" w:color="auto"/>
              <w:right w:val="single" w:sz="4" w:space="0" w:color="auto"/>
            </w:tcBorders>
            <w:shd w:val="clear" w:color="auto" w:fill="auto"/>
            <w:vAlign w:val="center"/>
            <w:hideMark/>
          </w:tcPr>
          <w:p w14:paraId="64575380" w14:textId="77777777" w:rsidR="00315701" w:rsidRPr="00C63A39" w:rsidRDefault="00315701" w:rsidP="00315701">
            <w:pPr>
              <w:jc w:val="right"/>
              <w:rPr>
                <w:color w:val="000000"/>
                <w:kern w:val="22"/>
                <w:szCs w:val="22"/>
                <w:lang w:val="fr-FR" w:eastAsia="en-CA"/>
              </w:rPr>
            </w:pPr>
            <w:r w:rsidRPr="00C63A39">
              <w:rPr>
                <w:color w:val="000000"/>
                <w:kern w:val="22"/>
                <w:szCs w:val="22"/>
                <w:lang w:val="fr-FR" w:eastAsia="en-CA"/>
              </w:rPr>
              <w:t xml:space="preserve">0.046 </w:t>
            </w:r>
          </w:p>
        </w:tc>
        <w:tc>
          <w:tcPr>
            <w:tcW w:w="1540" w:type="dxa"/>
            <w:tcBorders>
              <w:top w:val="nil"/>
              <w:left w:val="nil"/>
              <w:bottom w:val="single" w:sz="4" w:space="0" w:color="auto"/>
              <w:right w:val="single" w:sz="4" w:space="0" w:color="auto"/>
            </w:tcBorders>
            <w:shd w:val="clear" w:color="auto" w:fill="auto"/>
            <w:noWrap/>
            <w:vAlign w:val="center"/>
            <w:hideMark/>
          </w:tcPr>
          <w:p w14:paraId="052B41ED" w14:textId="77777777" w:rsidR="00315701" w:rsidRPr="00C63A39" w:rsidRDefault="00315701" w:rsidP="00315701">
            <w:pPr>
              <w:jc w:val="right"/>
              <w:rPr>
                <w:color w:val="000000"/>
                <w:kern w:val="22"/>
                <w:szCs w:val="22"/>
                <w:lang w:val="fr-FR" w:eastAsia="en-CA"/>
              </w:rPr>
            </w:pPr>
            <w:r w:rsidRPr="00C63A39">
              <w:rPr>
                <w:color w:val="000000"/>
                <w:kern w:val="22"/>
                <w:szCs w:val="22"/>
                <w:lang w:val="fr-FR" w:eastAsia="en-CA"/>
              </w:rPr>
              <w:t xml:space="preserve">0.058 </w:t>
            </w:r>
          </w:p>
        </w:tc>
        <w:tc>
          <w:tcPr>
            <w:tcW w:w="1540" w:type="dxa"/>
            <w:tcBorders>
              <w:top w:val="nil"/>
              <w:left w:val="nil"/>
              <w:bottom w:val="single" w:sz="4" w:space="0" w:color="auto"/>
              <w:right w:val="single" w:sz="4" w:space="0" w:color="auto"/>
            </w:tcBorders>
            <w:shd w:val="clear" w:color="auto" w:fill="auto"/>
            <w:noWrap/>
            <w:vAlign w:val="center"/>
            <w:hideMark/>
          </w:tcPr>
          <w:p w14:paraId="678CCE34" w14:textId="77777777" w:rsidR="00315701" w:rsidRPr="00C63A39" w:rsidRDefault="00315701" w:rsidP="00315701">
            <w:pPr>
              <w:jc w:val="right"/>
              <w:rPr>
                <w:color w:val="000000"/>
                <w:kern w:val="22"/>
                <w:szCs w:val="22"/>
                <w:lang w:val="fr-FR" w:eastAsia="en-CA"/>
              </w:rPr>
            </w:pPr>
            <w:r w:rsidRPr="00C63A39">
              <w:rPr>
                <w:color w:val="000000"/>
                <w:kern w:val="22"/>
                <w:szCs w:val="22"/>
                <w:lang w:val="fr-FR" w:eastAsia="en-CA"/>
              </w:rPr>
              <w:t>6,558</w:t>
            </w:r>
          </w:p>
        </w:tc>
      </w:tr>
      <w:tr w:rsidR="00315701" w:rsidRPr="00C63A39" w14:paraId="5A0CD75D"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7A3D295" w14:textId="77777777" w:rsidR="00315701" w:rsidRPr="00C63A39" w:rsidRDefault="00315701" w:rsidP="00315701">
            <w:pPr>
              <w:rPr>
                <w:color w:val="000000"/>
                <w:kern w:val="22"/>
                <w:szCs w:val="22"/>
                <w:lang w:val="fr-FR" w:eastAsia="en-CA"/>
              </w:rPr>
            </w:pPr>
            <w:r w:rsidRPr="00C63A39">
              <w:rPr>
                <w:color w:val="000000"/>
                <w:kern w:val="22"/>
                <w:szCs w:val="22"/>
                <w:lang w:val="fr-FR" w:eastAsia="en-CA"/>
              </w:rPr>
              <w:t>Burkina Faso</w:t>
            </w:r>
          </w:p>
        </w:tc>
        <w:tc>
          <w:tcPr>
            <w:tcW w:w="1540" w:type="dxa"/>
            <w:tcBorders>
              <w:top w:val="nil"/>
              <w:left w:val="nil"/>
              <w:bottom w:val="single" w:sz="4" w:space="0" w:color="auto"/>
              <w:right w:val="single" w:sz="4" w:space="0" w:color="auto"/>
            </w:tcBorders>
            <w:shd w:val="clear" w:color="auto" w:fill="auto"/>
            <w:vAlign w:val="center"/>
            <w:hideMark/>
          </w:tcPr>
          <w:p w14:paraId="62D2993C" w14:textId="77777777" w:rsidR="00315701" w:rsidRPr="00C63A39" w:rsidRDefault="00315701" w:rsidP="00315701">
            <w:pPr>
              <w:jc w:val="right"/>
              <w:rPr>
                <w:color w:val="000000"/>
                <w:kern w:val="22"/>
                <w:szCs w:val="22"/>
                <w:lang w:val="fr-FR" w:eastAsia="en-CA"/>
              </w:rPr>
            </w:pPr>
            <w:r w:rsidRPr="00C63A39">
              <w:rPr>
                <w:color w:val="000000"/>
                <w:kern w:val="22"/>
                <w:szCs w:val="22"/>
                <w:lang w:val="fr-FR"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444D7D6B" w14:textId="77777777" w:rsidR="00315701" w:rsidRPr="00C63A39" w:rsidRDefault="00315701" w:rsidP="00315701">
            <w:pPr>
              <w:jc w:val="right"/>
              <w:rPr>
                <w:color w:val="000000"/>
                <w:kern w:val="22"/>
                <w:szCs w:val="22"/>
                <w:lang w:val="fr-FR" w:eastAsia="en-CA"/>
              </w:rPr>
            </w:pPr>
            <w:r w:rsidRPr="00C63A39">
              <w:rPr>
                <w:color w:val="000000"/>
                <w:kern w:val="22"/>
                <w:szCs w:val="22"/>
                <w:lang w:val="fr-FR" w:eastAsia="en-CA"/>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6BD15DEA" w14:textId="77777777" w:rsidR="00315701" w:rsidRPr="00C63A39" w:rsidRDefault="00315701" w:rsidP="00315701">
            <w:pPr>
              <w:jc w:val="right"/>
              <w:rPr>
                <w:color w:val="000000"/>
                <w:kern w:val="22"/>
                <w:szCs w:val="22"/>
                <w:lang w:val="fr-FR" w:eastAsia="en-CA"/>
              </w:rPr>
            </w:pPr>
            <w:r w:rsidRPr="00C63A39">
              <w:rPr>
                <w:color w:val="000000"/>
                <w:kern w:val="22"/>
                <w:szCs w:val="22"/>
                <w:lang w:val="fr-FR" w:eastAsia="en-CA"/>
              </w:rPr>
              <w:t>428</w:t>
            </w:r>
          </w:p>
        </w:tc>
      </w:tr>
      <w:tr w:rsidR="00315701" w:rsidRPr="00C63A39" w14:paraId="79A88A11"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9AEE047" w14:textId="77777777" w:rsidR="00315701" w:rsidRPr="00C63A39" w:rsidRDefault="00315701" w:rsidP="00315701">
            <w:pPr>
              <w:rPr>
                <w:color w:val="000000"/>
                <w:kern w:val="22"/>
                <w:szCs w:val="22"/>
                <w:lang w:val="fr-FR" w:eastAsia="en-CA"/>
              </w:rPr>
            </w:pPr>
            <w:r w:rsidRPr="00C63A39">
              <w:rPr>
                <w:color w:val="000000"/>
                <w:kern w:val="22"/>
                <w:szCs w:val="22"/>
                <w:lang w:val="fr-FR" w:eastAsia="en-CA"/>
              </w:rPr>
              <w:t>Burundi</w:t>
            </w:r>
          </w:p>
        </w:tc>
        <w:tc>
          <w:tcPr>
            <w:tcW w:w="1540" w:type="dxa"/>
            <w:tcBorders>
              <w:top w:val="nil"/>
              <w:left w:val="nil"/>
              <w:bottom w:val="single" w:sz="4" w:space="0" w:color="auto"/>
              <w:right w:val="single" w:sz="4" w:space="0" w:color="auto"/>
            </w:tcBorders>
            <w:shd w:val="clear" w:color="auto" w:fill="auto"/>
            <w:vAlign w:val="center"/>
            <w:hideMark/>
          </w:tcPr>
          <w:p w14:paraId="04DEE74D" w14:textId="77777777" w:rsidR="00315701" w:rsidRPr="00C63A39" w:rsidRDefault="00315701" w:rsidP="00315701">
            <w:pPr>
              <w:jc w:val="right"/>
              <w:rPr>
                <w:color w:val="000000"/>
                <w:kern w:val="22"/>
                <w:szCs w:val="22"/>
                <w:lang w:val="fr-FR" w:eastAsia="en-CA"/>
              </w:rPr>
            </w:pPr>
            <w:r w:rsidRPr="00C63A39">
              <w:rPr>
                <w:color w:val="000000"/>
                <w:kern w:val="22"/>
                <w:szCs w:val="22"/>
                <w:lang w:val="fr-FR"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765C30D6" w14:textId="77777777" w:rsidR="00315701" w:rsidRPr="00C63A39" w:rsidRDefault="00315701" w:rsidP="00315701">
            <w:pPr>
              <w:jc w:val="right"/>
              <w:rPr>
                <w:color w:val="000000"/>
                <w:kern w:val="22"/>
                <w:szCs w:val="22"/>
                <w:lang w:val="fr-FR" w:eastAsia="en-CA"/>
              </w:rPr>
            </w:pPr>
            <w:r w:rsidRPr="00C63A39">
              <w:rPr>
                <w:color w:val="000000"/>
                <w:kern w:val="22"/>
                <w:szCs w:val="22"/>
                <w:lang w:val="fr-FR"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49CA86F7" w14:textId="77777777" w:rsidR="00315701" w:rsidRPr="00C63A39" w:rsidRDefault="00315701" w:rsidP="00315701">
            <w:pPr>
              <w:jc w:val="right"/>
              <w:rPr>
                <w:color w:val="000000"/>
                <w:kern w:val="22"/>
                <w:szCs w:val="22"/>
                <w:lang w:val="fr-FR" w:eastAsia="en-CA"/>
              </w:rPr>
            </w:pPr>
            <w:r w:rsidRPr="00C63A39">
              <w:rPr>
                <w:color w:val="000000"/>
                <w:kern w:val="22"/>
                <w:szCs w:val="22"/>
                <w:lang w:val="fr-FR" w:eastAsia="en-CA"/>
              </w:rPr>
              <w:t>143</w:t>
            </w:r>
          </w:p>
        </w:tc>
      </w:tr>
    </w:tbl>
    <w:p w14:paraId="5ACDA63E" w14:textId="12BBC973" w:rsidR="00315701" w:rsidRPr="00C63A39" w:rsidRDefault="00315701" w:rsidP="0079737F">
      <w:pPr>
        <w:autoSpaceDE w:val="0"/>
        <w:autoSpaceDN w:val="0"/>
        <w:adjustRightInd w:val="0"/>
        <w:rPr>
          <w:rFonts w:eastAsiaTheme="minorEastAsia"/>
          <w:bCs/>
          <w:kern w:val="22"/>
          <w:szCs w:val="22"/>
          <w:lang w:val="fr-FR"/>
        </w:rPr>
      </w:pPr>
    </w:p>
    <w:p w14:paraId="492C0C25" w14:textId="77777777" w:rsidR="00315701" w:rsidRPr="00C63A39" w:rsidRDefault="00315701">
      <w:pPr>
        <w:spacing w:after="160" w:line="259" w:lineRule="auto"/>
        <w:rPr>
          <w:rFonts w:eastAsiaTheme="minorEastAsia"/>
          <w:bCs/>
          <w:kern w:val="22"/>
          <w:szCs w:val="22"/>
          <w:lang w:val="fr-FR"/>
        </w:rPr>
      </w:pPr>
      <w:r w:rsidRPr="00C63A39">
        <w:rPr>
          <w:rFonts w:eastAsiaTheme="minorEastAsia"/>
          <w:bCs/>
          <w:kern w:val="22"/>
          <w:szCs w:val="22"/>
          <w:lang w:val="fr-FR"/>
        </w:rPr>
        <w:br w:type="page"/>
      </w:r>
    </w:p>
    <w:tbl>
      <w:tblPr>
        <w:tblW w:w="9420" w:type="dxa"/>
        <w:tblLook w:val="04A0" w:firstRow="1" w:lastRow="0" w:firstColumn="1" w:lastColumn="0" w:noHBand="0" w:noVBand="1"/>
      </w:tblPr>
      <w:tblGrid>
        <w:gridCol w:w="4800"/>
        <w:gridCol w:w="1540"/>
        <w:gridCol w:w="1540"/>
        <w:gridCol w:w="1540"/>
      </w:tblGrid>
      <w:tr w:rsidR="005F7E95" w:rsidRPr="00C63A39" w14:paraId="0DE663F4" w14:textId="77777777" w:rsidTr="00315701">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9A0032" w14:textId="41194539" w:rsidR="005F7E95" w:rsidRPr="00C63A39" w:rsidRDefault="005F7E95" w:rsidP="005F7E95">
            <w:pPr>
              <w:jc w:val="center"/>
              <w:rPr>
                <w:b/>
                <w:bCs/>
                <w:kern w:val="22"/>
                <w:szCs w:val="22"/>
                <w:lang w:eastAsia="en-CA"/>
              </w:rPr>
            </w:pPr>
            <w:r w:rsidRPr="00C63A39">
              <w:rPr>
                <w:b/>
                <w:bCs/>
                <w:kern w:val="22"/>
                <w:szCs w:val="22"/>
                <w:lang w:val="fr-FR" w:eastAsia="en-CA"/>
              </w:rPr>
              <w:lastRenderedPageBreak/>
              <w:t>Partie</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5D061FF5" w14:textId="5BAD2E61" w:rsidR="005F7E95" w:rsidRPr="00C63A39" w:rsidRDefault="005F7E95" w:rsidP="005F7E95">
            <w:pPr>
              <w:jc w:val="center"/>
              <w:rPr>
                <w:b/>
                <w:bCs/>
                <w:color w:val="000000"/>
                <w:kern w:val="22"/>
                <w:szCs w:val="22"/>
                <w:lang w:eastAsia="en-CA"/>
              </w:rPr>
            </w:pPr>
            <w:r w:rsidRPr="00C63A39">
              <w:rPr>
                <w:b/>
                <w:bCs/>
                <w:color w:val="000000"/>
                <w:kern w:val="22"/>
                <w:szCs w:val="22"/>
                <w:lang w:val="fr-FR" w:eastAsia="en-CA"/>
              </w:rPr>
              <w:t xml:space="preserve">Barème des quotes-parts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4F04D0C5" w14:textId="2E365F4C" w:rsidR="005F7E95" w:rsidRPr="006E23F0" w:rsidRDefault="005F7E95" w:rsidP="005F7E95">
            <w:pPr>
              <w:jc w:val="center"/>
              <w:rPr>
                <w:b/>
                <w:bCs/>
                <w:color w:val="000000"/>
                <w:kern w:val="22"/>
                <w:szCs w:val="22"/>
                <w:lang w:val="fr-CA" w:eastAsia="en-CA"/>
              </w:rPr>
            </w:pPr>
            <w:r w:rsidRPr="00C63A39">
              <w:rPr>
                <w:b/>
                <w:bCs/>
                <w:color w:val="000000"/>
                <w:kern w:val="22"/>
                <w:szCs w:val="22"/>
                <w:lang w:val="fr-FR" w:eastAsia="en-CA"/>
              </w:rPr>
              <w:t>Barème assorti d’un plafond de 22% ; aucun PMA ne paie plus de 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06C9FC72" w14:textId="0A09FE97" w:rsidR="005F7E95" w:rsidRPr="00C63A39" w:rsidRDefault="005F7E95" w:rsidP="005F7E95">
            <w:pPr>
              <w:jc w:val="center"/>
              <w:rPr>
                <w:b/>
                <w:bCs/>
                <w:color w:val="000000"/>
                <w:kern w:val="22"/>
                <w:szCs w:val="22"/>
                <w:lang w:eastAsia="en-CA"/>
              </w:rPr>
            </w:pPr>
            <w:r w:rsidRPr="00C63A39">
              <w:rPr>
                <w:b/>
                <w:bCs/>
                <w:color w:val="000000"/>
                <w:kern w:val="22"/>
                <w:szCs w:val="22"/>
                <w:lang w:val="fr-FR" w:eastAsia="en-CA"/>
              </w:rPr>
              <w:t>Contributions au 1er janvier 2020</w:t>
            </w:r>
          </w:p>
        </w:tc>
      </w:tr>
      <w:tr w:rsidR="00315701" w:rsidRPr="00C63A39" w14:paraId="51328447"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A954681" w14:textId="6FEB7D2E" w:rsidR="00315701" w:rsidRPr="00C63A39" w:rsidRDefault="00BC5BC9" w:rsidP="00315701">
            <w:pPr>
              <w:rPr>
                <w:color w:val="000000"/>
                <w:kern w:val="22"/>
                <w:szCs w:val="22"/>
                <w:lang w:val="fr-FR" w:eastAsia="en-CA"/>
              </w:rPr>
            </w:pPr>
            <w:r w:rsidRPr="00C63A39">
              <w:rPr>
                <w:color w:val="000000"/>
                <w:kern w:val="22"/>
                <w:szCs w:val="22"/>
                <w:lang w:val="fr-FR" w:eastAsia="en-CA"/>
              </w:rPr>
              <w:t>Cap-Vert</w:t>
            </w:r>
          </w:p>
        </w:tc>
        <w:tc>
          <w:tcPr>
            <w:tcW w:w="1540" w:type="dxa"/>
            <w:tcBorders>
              <w:top w:val="nil"/>
              <w:left w:val="nil"/>
              <w:bottom w:val="single" w:sz="4" w:space="0" w:color="auto"/>
              <w:right w:val="single" w:sz="4" w:space="0" w:color="auto"/>
            </w:tcBorders>
            <w:shd w:val="clear" w:color="auto" w:fill="auto"/>
            <w:vAlign w:val="center"/>
            <w:hideMark/>
          </w:tcPr>
          <w:p w14:paraId="2BBEABEA"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4CD5FCCF"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48507202"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143</w:t>
            </w:r>
          </w:p>
        </w:tc>
      </w:tr>
      <w:tr w:rsidR="00315701" w:rsidRPr="00C63A39" w14:paraId="5D616A96"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A09718F" w14:textId="347D93C9" w:rsidR="00315701" w:rsidRPr="00C63A39" w:rsidRDefault="00315701" w:rsidP="00315701">
            <w:pPr>
              <w:rPr>
                <w:color w:val="000000"/>
                <w:kern w:val="22"/>
                <w:szCs w:val="22"/>
                <w:lang w:val="fr-FR" w:eastAsia="en-CA"/>
              </w:rPr>
            </w:pPr>
            <w:r w:rsidRPr="00C63A39">
              <w:rPr>
                <w:color w:val="000000"/>
                <w:kern w:val="22"/>
                <w:szCs w:val="22"/>
                <w:lang w:val="fr-FR" w:eastAsia="en-CA"/>
              </w:rPr>
              <w:t>Cambod</w:t>
            </w:r>
            <w:r w:rsidR="00BC5BC9" w:rsidRPr="00C63A39">
              <w:rPr>
                <w:color w:val="000000"/>
                <w:kern w:val="22"/>
                <w:szCs w:val="22"/>
                <w:lang w:val="fr-FR" w:eastAsia="en-CA"/>
              </w:rPr>
              <w:t>ge</w:t>
            </w:r>
          </w:p>
        </w:tc>
        <w:tc>
          <w:tcPr>
            <w:tcW w:w="1540" w:type="dxa"/>
            <w:tcBorders>
              <w:top w:val="nil"/>
              <w:left w:val="nil"/>
              <w:bottom w:val="single" w:sz="4" w:space="0" w:color="auto"/>
              <w:right w:val="single" w:sz="4" w:space="0" w:color="auto"/>
            </w:tcBorders>
            <w:shd w:val="clear" w:color="auto" w:fill="auto"/>
            <w:vAlign w:val="center"/>
            <w:hideMark/>
          </w:tcPr>
          <w:p w14:paraId="775645A6"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14:paraId="43BAF52E"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0.008 </w:t>
            </w:r>
          </w:p>
        </w:tc>
        <w:tc>
          <w:tcPr>
            <w:tcW w:w="1540" w:type="dxa"/>
            <w:tcBorders>
              <w:top w:val="nil"/>
              <w:left w:val="nil"/>
              <w:bottom w:val="single" w:sz="4" w:space="0" w:color="auto"/>
              <w:right w:val="single" w:sz="4" w:space="0" w:color="auto"/>
            </w:tcBorders>
            <w:shd w:val="clear" w:color="auto" w:fill="auto"/>
            <w:noWrap/>
            <w:vAlign w:val="center"/>
            <w:hideMark/>
          </w:tcPr>
          <w:p w14:paraId="765CB38F"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855</w:t>
            </w:r>
          </w:p>
        </w:tc>
      </w:tr>
      <w:tr w:rsidR="00315701" w:rsidRPr="00C63A39" w14:paraId="739BB6D2"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D42DD39" w14:textId="53D3360C" w:rsidR="00315701" w:rsidRPr="00C63A39" w:rsidRDefault="00315701" w:rsidP="00315701">
            <w:pPr>
              <w:rPr>
                <w:color w:val="000000"/>
                <w:kern w:val="22"/>
                <w:szCs w:val="22"/>
                <w:lang w:val="fr-FR" w:eastAsia="en-CA"/>
              </w:rPr>
            </w:pPr>
            <w:r w:rsidRPr="00C63A39">
              <w:rPr>
                <w:color w:val="000000"/>
                <w:kern w:val="22"/>
                <w:szCs w:val="22"/>
                <w:lang w:val="fr-FR" w:eastAsia="en-CA"/>
              </w:rPr>
              <w:t>Camero</w:t>
            </w:r>
            <w:r w:rsidR="00BC5BC9" w:rsidRPr="00C63A39">
              <w:rPr>
                <w:color w:val="000000"/>
                <w:kern w:val="22"/>
                <w:szCs w:val="22"/>
                <w:lang w:val="fr-FR" w:eastAsia="en-CA"/>
              </w:rPr>
              <w:t>un</w:t>
            </w:r>
          </w:p>
        </w:tc>
        <w:tc>
          <w:tcPr>
            <w:tcW w:w="1540" w:type="dxa"/>
            <w:tcBorders>
              <w:top w:val="nil"/>
              <w:left w:val="nil"/>
              <w:bottom w:val="single" w:sz="4" w:space="0" w:color="auto"/>
              <w:right w:val="single" w:sz="4" w:space="0" w:color="auto"/>
            </w:tcBorders>
            <w:shd w:val="clear" w:color="auto" w:fill="auto"/>
            <w:vAlign w:val="center"/>
            <w:hideMark/>
          </w:tcPr>
          <w:p w14:paraId="092DC0A8"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0.013 </w:t>
            </w:r>
          </w:p>
        </w:tc>
        <w:tc>
          <w:tcPr>
            <w:tcW w:w="1540" w:type="dxa"/>
            <w:tcBorders>
              <w:top w:val="nil"/>
              <w:left w:val="nil"/>
              <w:bottom w:val="single" w:sz="4" w:space="0" w:color="auto"/>
              <w:right w:val="single" w:sz="4" w:space="0" w:color="auto"/>
            </w:tcBorders>
            <w:shd w:val="clear" w:color="auto" w:fill="auto"/>
            <w:noWrap/>
            <w:vAlign w:val="center"/>
            <w:hideMark/>
          </w:tcPr>
          <w:p w14:paraId="3B44A4B4"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0.016 </w:t>
            </w:r>
          </w:p>
        </w:tc>
        <w:tc>
          <w:tcPr>
            <w:tcW w:w="1540" w:type="dxa"/>
            <w:tcBorders>
              <w:top w:val="nil"/>
              <w:left w:val="nil"/>
              <w:bottom w:val="single" w:sz="4" w:space="0" w:color="auto"/>
              <w:right w:val="single" w:sz="4" w:space="0" w:color="auto"/>
            </w:tcBorders>
            <w:shd w:val="clear" w:color="auto" w:fill="auto"/>
            <w:noWrap/>
            <w:vAlign w:val="center"/>
            <w:hideMark/>
          </w:tcPr>
          <w:p w14:paraId="536F65A8"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1,853</w:t>
            </w:r>
          </w:p>
        </w:tc>
      </w:tr>
      <w:tr w:rsidR="00315701" w:rsidRPr="00C63A39" w14:paraId="628749C3"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7C1797F" w14:textId="77777777" w:rsidR="00315701" w:rsidRPr="00C63A39" w:rsidRDefault="00315701" w:rsidP="00315701">
            <w:pPr>
              <w:rPr>
                <w:color w:val="000000"/>
                <w:kern w:val="22"/>
                <w:szCs w:val="22"/>
                <w:lang w:val="fr-FR" w:eastAsia="en-CA"/>
              </w:rPr>
            </w:pPr>
            <w:r w:rsidRPr="00C63A39">
              <w:rPr>
                <w:color w:val="000000"/>
                <w:kern w:val="22"/>
                <w:szCs w:val="22"/>
                <w:lang w:val="fr-FR" w:eastAsia="en-CA"/>
              </w:rPr>
              <w:t>Canada</w:t>
            </w:r>
          </w:p>
        </w:tc>
        <w:tc>
          <w:tcPr>
            <w:tcW w:w="1540" w:type="dxa"/>
            <w:tcBorders>
              <w:top w:val="nil"/>
              <w:left w:val="nil"/>
              <w:bottom w:val="single" w:sz="4" w:space="0" w:color="auto"/>
              <w:right w:val="single" w:sz="4" w:space="0" w:color="auto"/>
            </w:tcBorders>
            <w:shd w:val="clear" w:color="auto" w:fill="auto"/>
            <w:vAlign w:val="center"/>
            <w:hideMark/>
          </w:tcPr>
          <w:p w14:paraId="145EC37F"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2.734 </w:t>
            </w:r>
          </w:p>
        </w:tc>
        <w:tc>
          <w:tcPr>
            <w:tcW w:w="1540" w:type="dxa"/>
            <w:tcBorders>
              <w:top w:val="nil"/>
              <w:left w:val="nil"/>
              <w:bottom w:val="single" w:sz="4" w:space="0" w:color="auto"/>
              <w:right w:val="single" w:sz="4" w:space="0" w:color="auto"/>
            </w:tcBorders>
            <w:shd w:val="clear" w:color="auto" w:fill="auto"/>
            <w:noWrap/>
            <w:vAlign w:val="center"/>
            <w:hideMark/>
          </w:tcPr>
          <w:p w14:paraId="127EA81F"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3.418 </w:t>
            </w:r>
          </w:p>
        </w:tc>
        <w:tc>
          <w:tcPr>
            <w:tcW w:w="1540" w:type="dxa"/>
            <w:tcBorders>
              <w:top w:val="nil"/>
              <w:left w:val="nil"/>
              <w:bottom w:val="single" w:sz="4" w:space="0" w:color="auto"/>
              <w:right w:val="single" w:sz="4" w:space="0" w:color="auto"/>
            </w:tcBorders>
            <w:shd w:val="clear" w:color="auto" w:fill="auto"/>
            <w:noWrap/>
            <w:vAlign w:val="center"/>
            <w:hideMark/>
          </w:tcPr>
          <w:p w14:paraId="20045D98"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389,757</w:t>
            </w:r>
          </w:p>
        </w:tc>
      </w:tr>
      <w:tr w:rsidR="00315701" w:rsidRPr="00C63A39" w14:paraId="643337DE"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B25AADB" w14:textId="4C8D9942" w:rsidR="00315701" w:rsidRPr="00C63A39" w:rsidRDefault="00BC5BC9" w:rsidP="00315701">
            <w:pPr>
              <w:rPr>
                <w:color w:val="000000"/>
                <w:kern w:val="22"/>
                <w:szCs w:val="22"/>
                <w:lang w:val="fr-FR" w:eastAsia="en-CA"/>
              </w:rPr>
            </w:pPr>
            <w:r w:rsidRPr="00C63A39">
              <w:rPr>
                <w:color w:val="000000"/>
                <w:kern w:val="22"/>
                <w:szCs w:val="22"/>
                <w:lang w:val="fr-FR" w:eastAsia="en-CA"/>
              </w:rPr>
              <w:t>République centrafricaine</w:t>
            </w:r>
          </w:p>
        </w:tc>
        <w:tc>
          <w:tcPr>
            <w:tcW w:w="1540" w:type="dxa"/>
            <w:tcBorders>
              <w:top w:val="nil"/>
              <w:left w:val="nil"/>
              <w:bottom w:val="single" w:sz="4" w:space="0" w:color="auto"/>
              <w:right w:val="single" w:sz="4" w:space="0" w:color="auto"/>
            </w:tcBorders>
            <w:shd w:val="clear" w:color="auto" w:fill="auto"/>
            <w:vAlign w:val="center"/>
            <w:hideMark/>
          </w:tcPr>
          <w:p w14:paraId="6F189EC6"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1E8FFEA7"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152915BA"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143</w:t>
            </w:r>
          </w:p>
        </w:tc>
      </w:tr>
      <w:tr w:rsidR="00315701" w:rsidRPr="00C63A39" w14:paraId="13834858"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BF31B70" w14:textId="14E89092" w:rsidR="00315701" w:rsidRPr="00C63A39" w:rsidRDefault="00BC5BC9" w:rsidP="00315701">
            <w:pPr>
              <w:rPr>
                <w:color w:val="000000"/>
                <w:kern w:val="22"/>
                <w:szCs w:val="22"/>
                <w:lang w:val="fr-FR" w:eastAsia="en-CA"/>
              </w:rPr>
            </w:pPr>
            <w:r w:rsidRPr="00C63A39">
              <w:rPr>
                <w:color w:val="000000"/>
                <w:kern w:val="22"/>
                <w:szCs w:val="22"/>
                <w:lang w:val="fr-FR" w:eastAsia="en-CA"/>
              </w:rPr>
              <w:t>Tchad</w:t>
            </w:r>
          </w:p>
        </w:tc>
        <w:tc>
          <w:tcPr>
            <w:tcW w:w="1540" w:type="dxa"/>
            <w:tcBorders>
              <w:top w:val="nil"/>
              <w:left w:val="nil"/>
              <w:bottom w:val="single" w:sz="4" w:space="0" w:color="auto"/>
              <w:right w:val="single" w:sz="4" w:space="0" w:color="auto"/>
            </w:tcBorders>
            <w:shd w:val="clear" w:color="auto" w:fill="auto"/>
            <w:vAlign w:val="center"/>
            <w:hideMark/>
          </w:tcPr>
          <w:p w14:paraId="58705EB8"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69EE9A2C"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14:paraId="019D8851"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570</w:t>
            </w:r>
          </w:p>
        </w:tc>
      </w:tr>
      <w:tr w:rsidR="00315701" w:rsidRPr="00C63A39" w14:paraId="14A66A44"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E7B254C" w14:textId="601C5369" w:rsidR="00315701" w:rsidRPr="00C63A39" w:rsidRDefault="00315701" w:rsidP="00315701">
            <w:pPr>
              <w:rPr>
                <w:color w:val="000000"/>
                <w:kern w:val="22"/>
                <w:szCs w:val="22"/>
                <w:lang w:val="fr-FR" w:eastAsia="en-CA"/>
              </w:rPr>
            </w:pPr>
            <w:r w:rsidRPr="00C63A39">
              <w:rPr>
                <w:color w:val="000000"/>
                <w:kern w:val="22"/>
                <w:szCs w:val="22"/>
                <w:lang w:val="fr-FR" w:eastAsia="en-CA"/>
              </w:rPr>
              <w:t>Ch</w:t>
            </w:r>
            <w:r w:rsidR="00BC5BC9" w:rsidRPr="00C63A39">
              <w:rPr>
                <w:color w:val="000000"/>
                <w:kern w:val="22"/>
                <w:szCs w:val="22"/>
                <w:lang w:val="fr-FR" w:eastAsia="en-CA"/>
              </w:rPr>
              <w:t>ili</w:t>
            </w:r>
          </w:p>
        </w:tc>
        <w:tc>
          <w:tcPr>
            <w:tcW w:w="1540" w:type="dxa"/>
            <w:tcBorders>
              <w:top w:val="nil"/>
              <w:left w:val="nil"/>
              <w:bottom w:val="single" w:sz="4" w:space="0" w:color="auto"/>
              <w:right w:val="single" w:sz="4" w:space="0" w:color="auto"/>
            </w:tcBorders>
            <w:shd w:val="clear" w:color="auto" w:fill="auto"/>
            <w:vAlign w:val="center"/>
            <w:hideMark/>
          </w:tcPr>
          <w:p w14:paraId="4552A4F8"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0.407 </w:t>
            </w:r>
          </w:p>
        </w:tc>
        <w:tc>
          <w:tcPr>
            <w:tcW w:w="1540" w:type="dxa"/>
            <w:tcBorders>
              <w:top w:val="nil"/>
              <w:left w:val="nil"/>
              <w:bottom w:val="single" w:sz="4" w:space="0" w:color="auto"/>
              <w:right w:val="single" w:sz="4" w:space="0" w:color="auto"/>
            </w:tcBorders>
            <w:shd w:val="clear" w:color="auto" w:fill="auto"/>
            <w:noWrap/>
            <w:vAlign w:val="center"/>
            <w:hideMark/>
          </w:tcPr>
          <w:p w14:paraId="0E8FA3D0"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0.509 </w:t>
            </w:r>
          </w:p>
        </w:tc>
        <w:tc>
          <w:tcPr>
            <w:tcW w:w="1540" w:type="dxa"/>
            <w:tcBorders>
              <w:top w:val="nil"/>
              <w:left w:val="nil"/>
              <w:bottom w:val="single" w:sz="4" w:space="0" w:color="auto"/>
              <w:right w:val="single" w:sz="4" w:space="0" w:color="auto"/>
            </w:tcBorders>
            <w:shd w:val="clear" w:color="auto" w:fill="auto"/>
            <w:noWrap/>
            <w:vAlign w:val="center"/>
            <w:hideMark/>
          </w:tcPr>
          <w:p w14:paraId="378C18F6"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58,022</w:t>
            </w:r>
          </w:p>
        </w:tc>
      </w:tr>
      <w:tr w:rsidR="00315701" w:rsidRPr="00C63A39" w14:paraId="15CA54FD"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F475E76" w14:textId="01A6A529" w:rsidR="00315701" w:rsidRPr="00C63A39" w:rsidRDefault="00315701" w:rsidP="00315701">
            <w:pPr>
              <w:rPr>
                <w:color w:val="000000"/>
                <w:kern w:val="22"/>
                <w:szCs w:val="22"/>
                <w:lang w:val="fr-FR" w:eastAsia="en-CA"/>
              </w:rPr>
            </w:pPr>
            <w:r w:rsidRPr="00C63A39">
              <w:rPr>
                <w:color w:val="000000"/>
                <w:kern w:val="22"/>
                <w:szCs w:val="22"/>
                <w:lang w:val="fr-FR" w:eastAsia="en-CA"/>
              </w:rPr>
              <w:t>Chin</w:t>
            </w:r>
            <w:r w:rsidR="00BC5BC9" w:rsidRPr="00C63A39">
              <w:rPr>
                <w:color w:val="000000"/>
                <w:kern w:val="22"/>
                <w:szCs w:val="22"/>
                <w:lang w:val="fr-FR" w:eastAsia="en-CA"/>
              </w:rPr>
              <w:t>e</w:t>
            </w:r>
          </w:p>
        </w:tc>
        <w:tc>
          <w:tcPr>
            <w:tcW w:w="1540" w:type="dxa"/>
            <w:tcBorders>
              <w:top w:val="nil"/>
              <w:left w:val="nil"/>
              <w:bottom w:val="single" w:sz="4" w:space="0" w:color="auto"/>
              <w:right w:val="single" w:sz="4" w:space="0" w:color="auto"/>
            </w:tcBorders>
            <w:shd w:val="clear" w:color="auto" w:fill="auto"/>
            <w:vAlign w:val="center"/>
            <w:hideMark/>
          </w:tcPr>
          <w:p w14:paraId="7FFFB1B3"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12.005 </w:t>
            </w:r>
          </w:p>
        </w:tc>
        <w:tc>
          <w:tcPr>
            <w:tcW w:w="1540" w:type="dxa"/>
            <w:tcBorders>
              <w:top w:val="nil"/>
              <w:left w:val="nil"/>
              <w:bottom w:val="single" w:sz="4" w:space="0" w:color="auto"/>
              <w:right w:val="single" w:sz="4" w:space="0" w:color="auto"/>
            </w:tcBorders>
            <w:shd w:val="clear" w:color="auto" w:fill="auto"/>
            <w:noWrap/>
            <w:vAlign w:val="center"/>
            <w:hideMark/>
          </w:tcPr>
          <w:p w14:paraId="0F512242"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15.009 </w:t>
            </w:r>
          </w:p>
        </w:tc>
        <w:tc>
          <w:tcPr>
            <w:tcW w:w="1540" w:type="dxa"/>
            <w:tcBorders>
              <w:top w:val="nil"/>
              <w:left w:val="nil"/>
              <w:bottom w:val="single" w:sz="4" w:space="0" w:color="auto"/>
              <w:right w:val="single" w:sz="4" w:space="0" w:color="auto"/>
            </w:tcBorders>
            <w:shd w:val="clear" w:color="auto" w:fill="auto"/>
            <w:noWrap/>
            <w:vAlign w:val="center"/>
            <w:hideMark/>
          </w:tcPr>
          <w:p w14:paraId="369BE5C4"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1,711,425</w:t>
            </w:r>
          </w:p>
        </w:tc>
      </w:tr>
      <w:tr w:rsidR="00315701" w:rsidRPr="00C63A39" w14:paraId="15DAC47B"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E2B3E03" w14:textId="47E03CF4" w:rsidR="00315701" w:rsidRPr="00C63A39" w:rsidRDefault="00315701" w:rsidP="00315701">
            <w:pPr>
              <w:rPr>
                <w:color w:val="000000"/>
                <w:kern w:val="22"/>
                <w:szCs w:val="22"/>
                <w:lang w:val="fr-FR" w:eastAsia="en-CA"/>
              </w:rPr>
            </w:pPr>
            <w:r w:rsidRPr="00C63A39">
              <w:rPr>
                <w:color w:val="000000"/>
                <w:kern w:val="22"/>
                <w:szCs w:val="22"/>
                <w:lang w:val="fr-FR" w:eastAsia="en-CA"/>
              </w:rPr>
              <w:t>Colomb</w:t>
            </w:r>
            <w:r w:rsidR="00BC5BC9" w:rsidRPr="00C63A39">
              <w:rPr>
                <w:color w:val="000000"/>
                <w:kern w:val="22"/>
                <w:szCs w:val="22"/>
                <w:lang w:val="fr-FR" w:eastAsia="en-CA"/>
              </w:rPr>
              <w:t>ie</w:t>
            </w:r>
          </w:p>
        </w:tc>
        <w:tc>
          <w:tcPr>
            <w:tcW w:w="1540" w:type="dxa"/>
            <w:tcBorders>
              <w:top w:val="nil"/>
              <w:left w:val="nil"/>
              <w:bottom w:val="single" w:sz="4" w:space="0" w:color="auto"/>
              <w:right w:val="single" w:sz="4" w:space="0" w:color="auto"/>
            </w:tcBorders>
            <w:shd w:val="clear" w:color="auto" w:fill="auto"/>
            <w:vAlign w:val="center"/>
            <w:hideMark/>
          </w:tcPr>
          <w:p w14:paraId="2BF6B33C"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0.288 </w:t>
            </w:r>
          </w:p>
        </w:tc>
        <w:tc>
          <w:tcPr>
            <w:tcW w:w="1540" w:type="dxa"/>
            <w:tcBorders>
              <w:top w:val="nil"/>
              <w:left w:val="nil"/>
              <w:bottom w:val="single" w:sz="4" w:space="0" w:color="auto"/>
              <w:right w:val="single" w:sz="4" w:space="0" w:color="auto"/>
            </w:tcBorders>
            <w:shd w:val="clear" w:color="auto" w:fill="auto"/>
            <w:noWrap/>
            <w:vAlign w:val="center"/>
            <w:hideMark/>
          </w:tcPr>
          <w:p w14:paraId="3246DCD7"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0.360 </w:t>
            </w:r>
          </w:p>
        </w:tc>
        <w:tc>
          <w:tcPr>
            <w:tcW w:w="1540" w:type="dxa"/>
            <w:tcBorders>
              <w:top w:val="nil"/>
              <w:left w:val="nil"/>
              <w:bottom w:val="single" w:sz="4" w:space="0" w:color="auto"/>
              <w:right w:val="single" w:sz="4" w:space="0" w:color="auto"/>
            </w:tcBorders>
            <w:shd w:val="clear" w:color="auto" w:fill="auto"/>
            <w:noWrap/>
            <w:vAlign w:val="center"/>
            <w:hideMark/>
          </w:tcPr>
          <w:p w14:paraId="6392E7FD"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41,057</w:t>
            </w:r>
          </w:p>
        </w:tc>
      </w:tr>
      <w:tr w:rsidR="00315701" w:rsidRPr="00C63A39" w14:paraId="3B82475D"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4B067EC" w14:textId="472FBD4B" w:rsidR="00315701" w:rsidRPr="00C63A39" w:rsidRDefault="00315701" w:rsidP="00315701">
            <w:pPr>
              <w:rPr>
                <w:color w:val="000000"/>
                <w:kern w:val="22"/>
                <w:szCs w:val="22"/>
                <w:lang w:val="fr-FR" w:eastAsia="en-CA"/>
              </w:rPr>
            </w:pPr>
            <w:r w:rsidRPr="00C63A39">
              <w:rPr>
                <w:color w:val="000000"/>
                <w:kern w:val="22"/>
                <w:szCs w:val="22"/>
                <w:lang w:val="fr-FR" w:eastAsia="en-CA"/>
              </w:rPr>
              <w:t>Comor</w:t>
            </w:r>
            <w:r w:rsidR="00BC5BC9" w:rsidRPr="00C63A39">
              <w:rPr>
                <w:color w:val="000000"/>
                <w:kern w:val="22"/>
                <w:szCs w:val="22"/>
                <w:lang w:val="fr-FR" w:eastAsia="en-CA"/>
              </w:rPr>
              <w:t>es</w:t>
            </w:r>
          </w:p>
        </w:tc>
        <w:tc>
          <w:tcPr>
            <w:tcW w:w="1540" w:type="dxa"/>
            <w:tcBorders>
              <w:top w:val="nil"/>
              <w:left w:val="nil"/>
              <w:bottom w:val="single" w:sz="4" w:space="0" w:color="auto"/>
              <w:right w:val="single" w:sz="4" w:space="0" w:color="auto"/>
            </w:tcBorders>
            <w:shd w:val="clear" w:color="auto" w:fill="auto"/>
            <w:vAlign w:val="center"/>
            <w:hideMark/>
          </w:tcPr>
          <w:p w14:paraId="7E8F75EA"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60AB8027"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2E60329C"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143</w:t>
            </w:r>
          </w:p>
        </w:tc>
      </w:tr>
      <w:tr w:rsidR="00315701" w:rsidRPr="00C63A39" w14:paraId="47898BAD"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FF89993" w14:textId="77777777" w:rsidR="00315701" w:rsidRPr="00C63A39" w:rsidRDefault="00315701" w:rsidP="00315701">
            <w:pPr>
              <w:rPr>
                <w:color w:val="000000"/>
                <w:kern w:val="22"/>
                <w:szCs w:val="22"/>
                <w:lang w:val="fr-FR" w:eastAsia="en-CA"/>
              </w:rPr>
            </w:pPr>
            <w:r w:rsidRPr="00C63A39">
              <w:rPr>
                <w:color w:val="000000"/>
                <w:kern w:val="22"/>
                <w:szCs w:val="22"/>
                <w:lang w:val="fr-FR" w:eastAsia="en-CA"/>
              </w:rPr>
              <w:t>Congo</w:t>
            </w:r>
          </w:p>
        </w:tc>
        <w:tc>
          <w:tcPr>
            <w:tcW w:w="1540" w:type="dxa"/>
            <w:tcBorders>
              <w:top w:val="nil"/>
              <w:left w:val="nil"/>
              <w:bottom w:val="single" w:sz="4" w:space="0" w:color="auto"/>
              <w:right w:val="single" w:sz="4" w:space="0" w:color="auto"/>
            </w:tcBorders>
            <w:shd w:val="clear" w:color="auto" w:fill="auto"/>
            <w:vAlign w:val="center"/>
            <w:hideMark/>
          </w:tcPr>
          <w:p w14:paraId="4F284743"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14:paraId="5742AB48"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0.008 </w:t>
            </w:r>
          </w:p>
        </w:tc>
        <w:tc>
          <w:tcPr>
            <w:tcW w:w="1540" w:type="dxa"/>
            <w:tcBorders>
              <w:top w:val="nil"/>
              <w:left w:val="nil"/>
              <w:bottom w:val="single" w:sz="4" w:space="0" w:color="auto"/>
              <w:right w:val="single" w:sz="4" w:space="0" w:color="auto"/>
            </w:tcBorders>
            <w:shd w:val="clear" w:color="auto" w:fill="auto"/>
            <w:noWrap/>
            <w:vAlign w:val="center"/>
            <w:hideMark/>
          </w:tcPr>
          <w:p w14:paraId="33B1D01C"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855</w:t>
            </w:r>
          </w:p>
        </w:tc>
      </w:tr>
      <w:tr w:rsidR="00315701" w:rsidRPr="00C63A39" w14:paraId="4FBB1679"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2C04CF5" w14:textId="6751992F" w:rsidR="00315701" w:rsidRPr="00C63A39" w:rsidRDefault="00BC5BC9" w:rsidP="00315701">
            <w:pPr>
              <w:rPr>
                <w:color w:val="000000"/>
                <w:kern w:val="22"/>
                <w:szCs w:val="22"/>
                <w:lang w:val="fr-FR" w:eastAsia="en-CA"/>
              </w:rPr>
            </w:pPr>
            <w:r w:rsidRPr="00C63A39">
              <w:rPr>
                <w:color w:val="000000"/>
                <w:kern w:val="22"/>
                <w:szCs w:val="22"/>
                <w:lang w:val="fr-FR" w:eastAsia="en-CA"/>
              </w:rPr>
              <w:t>Iles Cook</w:t>
            </w:r>
          </w:p>
        </w:tc>
        <w:tc>
          <w:tcPr>
            <w:tcW w:w="1540" w:type="dxa"/>
            <w:tcBorders>
              <w:top w:val="nil"/>
              <w:left w:val="nil"/>
              <w:bottom w:val="single" w:sz="4" w:space="0" w:color="auto"/>
              <w:right w:val="single" w:sz="4" w:space="0" w:color="auto"/>
            </w:tcBorders>
            <w:shd w:val="clear" w:color="auto" w:fill="auto"/>
            <w:vAlign w:val="center"/>
            <w:hideMark/>
          </w:tcPr>
          <w:p w14:paraId="26551611"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293C5376"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0A5A92B6"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143</w:t>
            </w:r>
          </w:p>
        </w:tc>
      </w:tr>
      <w:tr w:rsidR="00315701" w:rsidRPr="00C63A39" w14:paraId="521BC525"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75A0F4D" w14:textId="77777777" w:rsidR="00315701" w:rsidRPr="00C63A39" w:rsidRDefault="00315701" w:rsidP="00315701">
            <w:pPr>
              <w:rPr>
                <w:color w:val="000000"/>
                <w:kern w:val="22"/>
                <w:szCs w:val="22"/>
                <w:lang w:val="fr-FR" w:eastAsia="en-CA"/>
              </w:rPr>
            </w:pPr>
            <w:r w:rsidRPr="00C63A39">
              <w:rPr>
                <w:color w:val="000000"/>
                <w:kern w:val="22"/>
                <w:szCs w:val="22"/>
                <w:lang w:val="fr-FR" w:eastAsia="en-CA"/>
              </w:rPr>
              <w:t>Costa Rica</w:t>
            </w:r>
          </w:p>
        </w:tc>
        <w:tc>
          <w:tcPr>
            <w:tcW w:w="1540" w:type="dxa"/>
            <w:tcBorders>
              <w:top w:val="nil"/>
              <w:left w:val="nil"/>
              <w:bottom w:val="single" w:sz="4" w:space="0" w:color="auto"/>
              <w:right w:val="single" w:sz="4" w:space="0" w:color="auto"/>
            </w:tcBorders>
            <w:shd w:val="clear" w:color="auto" w:fill="auto"/>
            <w:vAlign w:val="center"/>
            <w:hideMark/>
          </w:tcPr>
          <w:p w14:paraId="3509D3AA"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0.062 </w:t>
            </w:r>
          </w:p>
        </w:tc>
        <w:tc>
          <w:tcPr>
            <w:tcW w:w="1540" w:type="dxa"/>
            <w:tcBorders>
              <w:top w:val="nil"/>
              <w:left w:val="nil"/>
              <w:bottom w:val="single" w:sz="4" w:space="0" w:color="auto"/>
              <w:right w:val="single" w:sz="4" w:space="0" w:color="auto"/>
            </w:tcBorders>
            <w:shd w:val="clear" w:color="auto" w:fill="auto"/>
            <w:noWrap/>
            <w:vAlign w:val="center"/>
            <w:hideMark/>
          </w:tcPr>
          <w:p w14:paraId="550A00AA"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0.078 </w:t>
            </w:r>
          </w:p>
        </w:tc>
        <w:tc>
          <w:tcPr>
            <w:tcW w:w="1540" w:type="dxa"/>
            <w:tcBorders>
              <w:top w:val="nil"/>
              <w:left w:val="nil"/>
              <w:bottom w:val="single" w:sz="4" w:space="0" w:color="auto"/>
              <w:right w:val="single" w:sz="4" w:space="0" w:color="auto"/>
            </w:tcBorders>
            <w:shd w:val="clear" w:color="auto" w:fill="auto"/>
            <w:noWrap/>
            <w:vAlign w:val="center"/>
            <w:hideMark/>
          </w:tcPr>
          <w:p w14:paraId="7BC866C6"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8,839</w:t>
            </w:r>
          </w:p>
        </w:tc>
      </w:tr>
      <w:tr w:rsidR="00315701" w:rsidRPr="00C63A39" w14:paraId="02CE5878"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E67092A" w14:textId="7C42EF04" w:rsidR="00315701" w:rsidRPr="00C63A39" w:rsidRDefault="00315701" w:rsidP="00315701">
            <w:pPr>
              <w:rPr>
                <w:color w:val="000000"/>
                <w:kern w:val="22"/>
                <w:szCs w:val="22"/>
                <w:lang w:val="fr-FR" w:eastAsia="en-CA"/>
              </w:rPr>
            </w:pPr>
            <w:r w:rsidRPr="00C63A39">
              <w:rPr>
                <w:color w:val="000000"/>
                <w:kern w:val="22"/>
                <w:szCs w:val="22"/>
                <w:lang w:val="fr-FR" w:eastAsia="en-CA"/>
              </w:rPr>
              <w:t>C</w:t>
            </w:r>
            <w:r w:rsidR="00BC5BC9" w:rsidRPr="00C63A39">
              <w:rPr>
                <w:color w:val="000000"/>
                <w:kern w:val="22"/>
                <w:szCs w:val="22"/>
                <w:lang w:val="fr-FR" w:eastAsia="en-CA"/>
              </w:rPr>
              <w:t>ôte d’Ivoire</w:t>
            </w:r>
          </w:p>
        </w:tc>
        <w:tc>
          <w:tcPr>
            <w:tcW w:w="1540" w:type="dxa"/>
            <w:tcBorders>
              <w:top w:val="nil"/>
              <w:left w:val="nil"/>
              <w:bottom w:val="single" w:sz="4" w:space="0" w:color="auto"/>
              <w:right w:val="single" w:sz="4" w:space="0" w:color="auto"/>
            </w:tcBorders>
            <w:shd w:val="clear" w:color="auto" w:fill="auto"/>
            <w:vAlign w:val="center"/>
            <w:hideMark/>
          </w:tcPr>
          <w:p w14:paraId="21D7593D"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0.013 </w:t>
            </w:r>
          </w:p>
        </w:tc>
        <w:tc>
          <w:tcPr>
            <w:tcW w:w="1540" w:type="dxa"/>
            <w:tcBorders>
              <w:top w:val="nil"/>
              <w:left w:val="nil"/>
              <w:bottom w:val="single" w:sz="4" w:space="0" w:color="auto"/>
              <w:right w:val="single" w:sz="4" w:space="0" w:color="auto"/>
            </w:tcBorders>
            <w:shd w:val="clear" w:color="auto" w:fill="auto"/>
            <w:noWrap/>
            <w:vAlign w:val="center"/>
            <w:hideMark/>
          </w:tcPr>
          <w:p w14:paraId="5D874FDA"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0.016 </w:t>
            </w:r>
          </w:p>
        </w:tc>
        <w:tc>
          <w:tcPr>
            <w:tcW w:w="1540" w:type="dxa"/>
            <w:tcBorders>
              <w:top w:val="nil"/>
              <w:left w:val="nil"/>
              <w:bottom w:val="single" w:sz="4" w:space="0" w:color="auto"/>
              <w:right w:val="single" w:sz="4" w:space="0" w:color="auto"/>
            </w:tcBorders>
            <w:shd w:val="clear" w:color="auto" w:fill="auto"/>
            <w:noWrap/>
            <w:vAlign w:val="center"/>
            <w:hideMark/>
          </w:tcPr>
          <w:p w14:paraId="2B0F3E1B"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1,853</w:t>
            </w:r>
          </w:p>
        </w:tc>
      </w:tr>
      <w:tr w:rsidR="00315701" w:rsidRPr="00C63A39" w14:paraId="36859A12"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124B216" w14:textId="3D2F78FD" w:rsidR="00315701" w:rsidRPr="00C63A39" w:rsidRDefault="00315701" w:rsidP="00315701">
            <w:pPr>
              <w:rPr>
                <w:color w:val="000000"/>
                <w:kern w:val="22"/>
                <w:szCs w:val="22"/>
                <w:lang w:val="fr-FR" w:eastAsia="en-CA"/>
              </w:rPr>
            </w:pPr>
            <w:r w:rsidRPr="00C63A39">
              <w:rPr>
                <w:color w:val="000000"/>
                <w:kern w:val="22"/>
                <w:szCs w:val="22"/>
                <w:lang w:val="fr-FR" w:eastAsia="en-CA"/>
              </w:rPr>
              <w:t>Croati</w:t>
            </w:r>
            <w:r w:rsidR="00BC5BC9" w:rsidRPr="00C63A39">
              <w:rPr>
                <w:color w:val="000000"/>
                <w:kern w:val="22"/>
                <w:szCs w:val="22"/>
                <w:lang w:val="fr-FR" w:eastAsia="en-CA"/>
              </w:rPr>
              <w:t>e</w:t>
            </w:r>
          </w:p>
        </w:tc>
        <w:tc>
          <w:tcPr>
            <w:tcW w:w="1540" w:type="dxa"/>
            <w:tcBorders>
              <w:top w:val="nil"/>
              <w:left w:val="nil"/>
              <w:bottom w:val="single" w:sz="4" w:space="0" w:color="auto"/>
              <w:right w:val="single" w:sz="4" w:space="0" w:color="auto"/>
            </w:tcBorders>
            <w:shd w:val="clear" w:color="auto" w:fill="auto"/>
            <w:vAlign w:val="center"/>
            <w:hideMark/>
          </w:tcPr>
          <w:p w14:paraId="37D0BC34"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0.077 </w:t>
            </w:r>
          </w:p>
        </w:tc>
        <w:tc>
          <w:tcPr>
            <w:tcW w:w="1540" w:type="dxa"/>
            <w:tcBorders>
              <w:top w:val="nil"/>
              <w:left w:val="nil"/>
              <w:bottom w:val="single" w:sz="4" w:space="0" w:color="auto"/>
              <w:right w:val="single" w:sz="4" w:space="0" w:color="auto"/>
            </w:tcBorders>
            <w:shd w:val="clear" w:color="auto" w:fill="auto"/>
            <w:noWrap/>
            <w:vAlign w:val="center"/>
            <w:hideMark/>
          </w:tcPr>
          <w:p w14:paraId="5DD0E8F0"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0.096 </w:t>
            </w:r>
          </w:p>
        </w:tc>
        <w:tc>
          <w:tcPr>
            <w:tcW w:w="1540" w:type="dxa"/>
            <w:tcBorders>
              <w:top w:val="nil"/>
              <w:left w:val="nil"/>
              <w:bottom w:val="single" w:sz="4" w:space="0" w:color="auto"/>
              <w:right w:val="single" w:sz="4" w:space="0" w:color="auto"/>
            </w:tcBorders>
            <w:shd w:val="clear" w:color="auto" w:fill="auto"/>
            <w:noWrap/>
            <w:vAlign w:val="center"/>
            <w:hideMark/>
          </w:tcPr>
          <w:p w14:paraId="3285150E"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10,977</w:t>
            </w:r>
          </w:p>
        </w:tc>
      </w:tr>
      <w:tr w:rsidR="00315701" w:rsidRPr="00C63A39" w14:paraId="587F61BE"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E74722A" w14:textId="77777777" w:rsidR="00315701" w:rsidRPr="00C63A39" w:rsidRDefault="00315701" w:rsidP="00315701">
            <w:pPr>
              <w:rPr>
                <w:color w:val="000000"/>
                <w:kern w:val="22"/>
                <w:szCs w:val="22"/>
                <w:lang w:val="fr-FR" w:eastAsia="en-CA"/>
              </w:rPr>
            </w:pPr>
            <w:r w:rsidRPr="00C63A39">
              <w:rPr>
                <w:color w:val="000000"/>
                <w:kern w:val="22"/>
                <w:szCs w:val="22"/>
                <w:lang w:val="fr-FR" w:eastAsia="en-CA"/>
              </w:rPr>
              <w:t>Cuba</w:t>
            </w:r>
          </w:p>
        </w:tc>
        <w:tc>
          <w:tcPr>
            <w:tcW w:w="1540" w:type="dxa"/>
            <w:tcBorders>
              <w:top w:val="nil"/>
              <w:left w:val="nil"/>
              <w:bottom w:val="single" w:sz="4" w:space="0" w:color="auto"/>
              <w:right w:val="single" w:sz="4" w:space="0" w:color="auto"/>
            </w:tcBorders>
            <w:shd w:val="clear" w:color="auto" w:fill="auto"/>
            <w:vAlign w:val="center"/>
            <w:hideMark/>
          </w:tcPr>
          <w:p w14:paraId="144C95FE"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0.080 </w:t>
            </w:r>
          </w:p>
        </w:tc>
        <w:tc>
          <w:tcPr>
            <w:tcW w:w="1540" w:type="dxa"/>
            <w:tcBorders>
              <w:top w:val="nil"/>
              <w:left w:val="nil"/>
              <w:bottom w:val="single" w:sz="4" w:space="0" w:color="auto"/>
              <w:right w:val="single" w:sz="4" w:space="0" w:color="auto"/>
            </w:tcBorders>
            <w:shd w:val="clear" w:color="auto" w:fill="auto"/>
            <w:noWrap/>
            <w:vAlign w:val="center"/>
            <w:hideMark/>
          </w:tcPr>
          <w:p w14:paraId="5922F7DB"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0.100 </w:t>
            </w:r>
          </w:p>
        </w:tc>
        <w:tc>
          <w:tcPr>
            <w:tcW w:w="1540" w:type="dxa"/>
            <w:tcBorders>
              <w:top w:val="nil"/>
              <w:left w:val="nil"/>
              <w:bottom w:val="single" w:sz="4" w:space="0" w:color="auto"/>
              <w:right w:val="single" w:sz="4" w:space="0" w:color="auto"/>
            </w:tcBorders>
            <w:shd w:val="clear" w:color="auto" w:fill="auto"/>
            <w:noWrap/>
            <w:vAlign w:val="center"/>
            <w:hideMark/>
          </w:tcPr>
          <w:p w14:paraId="2D8B6A72"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11,405</w:t>
            </w:r>
          </w:p>
        </w:tc>
      </w:tr>
      <w:tr w:rsidR="00315701" w:rsidRPr="00C63A39" w14:paraId="5301878D"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9D5970F" w14:textId="16E23EED" w:rsidR="00315701" w:rsidRPr="00C63A39" w:rsidRDefault="00315701" w:rsidP="00315701">
            <w:pPr>
              <w:rPr>
                <w:color w:val="000000"/>
                <w:kern w:val="22"/>
                <w:szCs w:val="22"/>
                <w:lang w:val="fr-FR" w:eastAsia="en-CA"/>
              </w:rPr>
            </w:pPr>
            <w:r w:rsidRPr="00C63A39">
              <w:rPr>
                <w:color w:val="000000"/>
                <w:kern w:val="22"/>
                <w:szCs w:val="22"/>
                <w:lang w:val="fr-FR" w:eastAsia="en-CA"/>
              </w:rPr>
              <w:t>C</w:t>
            </w:r>
            <w:r w:rsidR="00BC5BC9" w:rsidRPr="00C63A39">
              <w:rPr>
                <w:color w:val="000000"/>
                <w:kern w:val="22"/>
                <w:szCs w:val="22"/>
                <w:lang w:val="fr-FR" w:eastAsia="en-CA"/>
              </w:rPr>
              <w:t>hypre</w:t>
            </w:r>
          </w:p>
        </w:tc>
        <w:tc>
          <w:tcPr>
            <w:tcW w:w="1540" w:type="dxa"/>
            <w:tcBorders>
              <w:top w:val="nil"/>
              <w:left w:val="nil"/>
              <w:bottom w:val="single" w:sz="4" w:space="0" w:color="auto"/>
              <w:right w:val="single" w:sz="4" w:space="0" w:color="auto"/>
            </w:tcBorders>
            <w:shd w:val="clear" w:color="auto" w:fill="auto"/>
            <w:vAlign w:val="center"/>
            <w:hideMark/>
          </w:tcPr>
          <w:p w14:paraId="0210D68C"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0.036 </w:t>
            </w:r>
          </w:p>
        </w:tc>
        <w:tc>
          <w:tcPr>
            <w:tcW w:w="1540" w:type="dxa"/>
            <w:tcBorders>
              <w:top w:val="nil"/>
              <w:left w:val="nil"/>
              <w:bottom w:val="single" w:sz="4" w:space="0" w:color="auto"/>
              <w:right w:val="single" w:sz="4" w:space="0" w:color="auto"/>
            </w:tcBorders>
            <w:shd w:val="clear" w:color="auto" w:fill="auto"/>
            <w:noWrap/>
            <w:vAlign w:val="center"/>
            <w:hideMark/>
          </w:tcPr>
          <w:p w14:paraId="5B035FE5"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0.045 </w:t>
            </w:r>
          </w:p>
        </w:tc>
        <w:tc>
          <w:tcPr>
            <w:tcW w:w="1540" w:type="dxa"/>
            <w:tcBorders>
              <w:top w:val="nil"/>
              <w:left w:val="nil"/>
              <w:bottom w:val="single" w:sz="4" w:space="0" w:color="auto"/>
              <w:right w:val="single" w:sz="4" w:space="0" w:color="auto"/>
            </w:tcBorders>
            <w:shd w:val="clear" w:color="auto" w:fill="auto"/>
            <w:noWrap/>
            <w:vAlign w:val="center"/>
            <w:hideMark/>
          </w:tcPr>
          <w:p w14:paraId="2B82C663"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5,132</w:t>
            </w:r>
          </w:p>
        </w:tc>
      </w:tr>
      <w:tr w:rsidR="00315701" w:rsidRPr="00C63A39" w14:paraId="771EB580"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CB9FFEA" w14:textId="3B82FD2D" w:rsidR="00315701" w:rsidRPr="00C63A39" w:rsidRDefault="006E1427" w:rsidP="00315701">
            <w:pPr>
              <w:rPr>
                <w:color w:val="000000"/>
                <w:kern w:val="22"/>
                <w:szCs w:val="22"/>
                <w:lang w:val="fr-FR" w:eastAsia="en-CA"/>
              </w:rPr>
            </w:pPr>
            <w:r w:rsidRPr="00C63A39">
              <w:rPr>
                <w:color w:val="000000"/>
                <w:kern w:val="22"/>
                <w:szCs w:val="22"/>
                <w:lang w:val="fr-FR" w:eastAsia="en-CA"/>
              </w:rPr>
              <w:t>Tchéquie</w:t>
            </w:r>
          </w:p>
        </w:tc>
        <w:tc>
          <w:tcPr>
            <w:tcW w:w="1540" w:type="dxa"/>
            <w:tcBorders>
              <w:top w:val="nil"/>
              <w:left w:val="nil"/>
              <w:bottom w:val="single" w:sz="4" w:space="0" w:color="auto"/>
              <w:right w:val="single" w:sz="4" w:space="0" w:color="auto"/>
            </w:tcBorders>
            <w:shd w:val="clear" w:color="auto" w:fill="auto"/>
            <w:vAlign w:val="center"/>
            <w:hideMark/>
          </w:tcPr>
          <w:p w14:paraId="069BB018"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0.311 </w:t>
            </w:r>
          </w:p>
        </w:tc>
        <w:tc>
          <w:tcPr>
            <w:tcW w:w="1540" w:type="dxa"/>
            <w:tcBorders>
              <w:top w:val="nil"/>
              <w:left w:val="nil"/>
              <w:bottom w:val="single" w:sz="4" w:space="0" w:color="auto"/>
              <w:right w:val="single" w:sz="4" w:space="0" w:color="auto"/>
            </w:tcBorders>
            <w:shd w:val="clear" w:color="auto" w:fill="auto"/>
            <w:noWrap/>
            <w:vAlign w:val="center"/>
            <w:hideMark/>
          </w:tcPr>
          <w:p w14:paraId="1DBF3468"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0.389 </w:t>
            </w:r>
          </w:p>
        </w:tc>
        <w:tc>
          <w:tcPr>
            <w:tcW w:w="1540" w:type="dxa"/>
            <w:tcBorders>
              <w:top w:val="nil"/>
              <w:left w:val="nil"/>
              <w:bottom w:val="single" w:sz="4" w:space="0" w:color="auto"/>
              <w:right w:val="single" w:sz="4" w:space="0" w:color="auto"/>
            </w:tcBorders>
            <w:shd w:val="clear" w:color="auto" w:fill="auto"/>
            <w:noWrap/>
            <w:vAlign w:val="center"/>
            <w:hideMark/>
          </w:tcPr>
          <w:p w14:paraId="4B4A2949"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44,336</w:t>
            </w:r>
          </w:p>
        </w:tc>
      </w:tr>
      <w:tr w:rsidR="00315701" w:rsidRPr="00C63A39" w14:paraId="591E9544"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025E37D" w14:textId="15AB1F34" w:rsidR="00315701" w:rsidRPr="00C63A39" w:rsidRDefault="00BC5BC9" w:rsidP="00315701">
            <w:pPr>
              <w:rPr>
                <w:color w:val="000000"/>
                <w:kern w:val="22"/>
                <w:szCs w:val="22"/>
                <w:lang w:val="fr-FR" w:eastAsia="en-CA"/>
              </w:rPr>
            </w:pPr>
            <w:r w:rsidRPr="00C63A39">
              <w:rPr>
                <w:color w:val="000000"/>
                <w:kern w:val="22"/>
                <w:szCs w:val="22"/>
                <w:lang w:val="fr-FR" w:eastAsia="en-CA"/>
              </w:rPr>
              <w:t>République Populaire démocratique de Corée</w:t>
            </w:r>
          </w:p>
        </w:tc>
        <w:tc>
          <w:tcPr>
            <w:tcW w:w="1540" w:type="dxa"/>
            <w:tcBorders>
              <w:top w:val="nil"/>
              <w:left w:val="nil"/>
              <w:bottom w:val="single" w:sz="4" w:space="0" w:color="auto"/>
              <w:right w:val="single" w:sz="4" w:space="0" w:color="auto"/>
            </w:tcBorders>
            <w:shd w:val="clear" w:color="auto" w:fill="auto"/>
            <w:vAlign w:val="center"/>
            <w:hideMark/>
          </w:tcPr>
          <w:p w14:paraId="78951324"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14:paraId="0A0C391A"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0.008 </w:t>
            </w:r>
          </w:p>
        </w:tc>
        <w:tc>
          <w:tcPr>
            <w:tcW w:w="1540" w:type="dxa"/>
            <w:tcBorders>
              <w:top w:val="nil"/>
              <w:left w:val="nil"/>
              <w:bottom w:val="single" w:sz="4" w:space="0" w:color="auto"/>
              <w:right w:val="single" w:sz="4" w:space="0" w:color="auto"/>
            </w:tcBorders>
            <w:shd w:val="clear" w:color="auto" w:fill="auto"/>
            <w:noWrap/>
            <w:vAlign w:val="center"/>
            <w:hideMark/>
          </w:tcPr>
          <w:p w14:paraId="11F75903"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855</w:t>
            </w:r>
          </w:p>
        </w:tc>
      </w:tr>
      <w:tr w:rsidR="00315701" w:rsidRPr="00C63A39" w14:paraId="0FE47B4E"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5512EFE" w14:textId="7CECB316" w:rsidR="00315701" w:rsidRPr="00C63A39" w:rsidRDefault="00BC5BC9" w:rsidP="00315701">
            <w:pPr>
              <w:rPr>
                <w:color w:val="000000"/>
                <w:kern w:val="22"/>
                <w:szCs w:val="22"/>
                <w:lang w:val="fr-FR" w:eastAsia="en-CA"/>
              </w:rPr>
            </w:pPr>
            <w:r w:rsidRPr="00C63A39">
              <w:rPr>
                <w:color w:val="000000"/>
                <w:kern w:val="22"/>
                <w:szCs w:val="22"/>
                <w:lang w:val="fr-FR" w:eastAsia="en-CA"/>
              </w:rPr>
              <w:t>République démocratique du Congo</w:t>
            </w:r>
          </w:p>
        </w:tc>
        <w:tc>
          <w:tcPr>
            <w:tcW w:w="1540" w:type="dxa"/>
            <w:tcBorders>
              <w:top w:val="nil"/>
              <w:left w:val="nil"/>
              <w:bottom w:val="single" w:sz="4" w:space="0" w:color="auto"/>
              <w:right w:val="single" w:sz="4" w:space="0" w:color="auto"/>
            </w:tcBorders>
            <w:shd w:val="clear" w:color="auto" w:fill="auto"/>
            <w:vAlign w:val="center"/>
            <w:hideMark/>
          </w:tcPr>
          <w:p w14:paraId="16847F39"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741162FA"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5A0F16A4"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1,140</w:t>
            </w:r>
          </w:p>
        </w:tc>
      </w:tr>
      <w:tr w:rsidR="00315701" w:rsidRPr="00C63A39" w14:paraId="751F6EB1"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B5B1E20" w14:textId="346E5C83" w:rsidR="00315701" w:rsidRPr="00C63A39" w:rsidRDefault="00315701" w:rsidP="00315701">
            <w:pPr>
              <w:rPr>
                <w:color w:val="000000"/>
                <w:kern w:val="22"/>
                <w:szCs w:val="22"/>
                <w:lang w:val="fr-FR" w:eastAsia="en-CA"/>
              </w:rPr>
            </w:pPr>
            <w:r w:rsidRPr="00C63A39">
              <w:rPr>
                <w:color w:val="000000"/>
                <w:kern w:val="22"/>
                <w:szCs w:val="22"/>
                <w:lang w:val="fr-FR" w:eastAsia="en-CA"/>
              </w:rPr>
              <w:t>D</w:t>
            </w:r>
            <w:r w:rsidR="00BC5BC9" w:rsidRPr="00C63A39">
              <w:rPr>
                <w:color w:val="000000"/>
                <w:kern w:val="22"/>
                <w:szCs w:val="22"/>
                <w:lang w:val="fr-FR" w:eastAsia="en-CA"/>
              </w:rPr>
              <w:t>anemark</w:t>
            </w:r>
          </w:p>
        </w:tc>
        <w:tc>
          <w:tcPr>
            <w:tcW w:w="1540" w:type="dxa"/>
            <w:tcBorders>
              <w:top w:val="nil"/>
              <w:left w:val="nil"/>
              <w:bottom w:val="single" w:sz="4" w:space="0" w:color="auto"/>
              <w:right w:val="single" w:sz="4" w:space="0" w:color="auto"/>
            </w:tcBorders>
            <w:shd w:val="clear" w:color="auto" w:fill="auto"/>
            <w:vAlign w:val="center"/>
            <w:hideMark/>
          </w:tcPr>
          <w:p w14:paraId="019F93B6"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0.554 </w:t>
            </w:r>
          </w:p>
        </w:tc>
        <w:tc>
          <w:tcPr>
            <w:tcW w:w="1540" w:type="dxa"/>
            <w:tcBorders>
              <w:top w:val="nil"/>
              <w:left w:val="nil"/>
              <w:bottom w:val="single" w:sz="4" w:space="0" w:color="auto"/>
              <w:right w:val="single" w:sz="4" w:space="0" w:color="auto"/>
            </w:tcBorders>
            <w:shd w:val="clear" w:color="auto" w:fill="auto"/>
            <w:noWrap/>
            <w:vAlign w:val="center"/>
            <w:hideMark/>
          </w:tcPr>
          <w:p w14:paraId="61F257AD"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0.693 </w:t>
            </w:r>
          </w:p>
        </w:tc>
        <w:tc>
          <w:tcPr>
            <w:tcW w:w="1540" w:type="dxa"/>
            <w:tcBorders>
              <w:top w:val="nil"/>
              <w:left w:val="nil"/>
              <w:bottom w:val="single" w:sz="4" w:space="0" w:color="auto"/>
              <w:right w:val="single" w:sz="4" w:space="0" w:color="auto"/>
            </w:tcBorders>
            <w:shd w:val="clear" w:color="auto" w:fill="auto"/>
            <w:noWrap/>
            <w:vAlign w:val="center"/>
            <w:hideMark/>
          </w:tcPr>
          <w:p w14:paraId="291A6849"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78,978</w:t>
            </w:r>
          </w:p>
        </w:tc>
      </w:tr>
      <w:tr w:rsidR="00315701" w:rsidRPr="00C63A39" w14:paraId="3A0E3D1E"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1E662A7" w14:textId="77777777" w:rsidR="00315701" w:rsidRPr="00C63A39" w:rsidRDefault="00315701" w:rsidP="00315701">
            <w:pPr>
              <w:rPr>
                <w:color w:val="000000"/>
                <w:kern w:val="22"/>
                <w:szCs w:val="22"/>
                <w:lang w:val="fr-FR" w:eastAsia="en-CA"/>
              </w:rPr>
            </w:pPr>
            <w:r w:rsidRPr="00C63A39">
              <w:rPr>
                <w:color w:val="000000"/>
                <w:kern w:val="22"/>
                <w:szCs w:val="22"/>
                <w:lang w:val="fr-FR" w:eastAsia="en-CA"/>
              </w:rPr>
              <w:t>Djibouti</w:t>
            </w:r>
          </w:p>
        </w:tc>
        <w:tc>
          <w:tcPr>
            <w:tcW w:w="1540" w:type="dxa"/>
            <w:tcBorders>
              <w:top w:val="nil"/>
              <w:left w:val="nil"/>
              <w:bottom w:val="single" w:sz="4" w:space="0" w:color="auto"/>
              <w:right w:val="single" w:sz="4" w:space="0" w:color="auto"/>
            </w:tcBorders>
            <w:shd w:val="clear" w:color="auto" w:fill="auto"/>
            <w:vAlign w:val="center"/>
            <w:hideMark/>
          </w:tcPr>
          <w:p w14:paraId="0E637F4E"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1A1796A0"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15FA2FF3"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143</w:t>
            </w:r>
          </w:p>
        </w:tc>
      </w:tr>
      <w:tr w:rsidR="00315701" w:rsidRPr="00C63A39" w14:paraId="5663F33E"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F4B7872" w14:textId="55B18984" w:rsidR="00315701" w:rsidRPr="00C63A39" w:rsidRDefault="00315701" w:rsidP="00315701">
            <w:pPr>
              <w:rPr>
                <w:color w:val="000000"/>
                <w:kern w:val="22"/>
                <w:szCs w:val="22"/>
                <w:lang w:val="fr-FR" w:eastAsia="en-CA"/>
              </w:rPr>
            </w:pPr>
            <w:r w:rsidRPr="00C63A39">
              <w:rPr>
                <w:color w:val="000000"/>
                <w:kern w:val="22"/>
                <w:szCs w:val="22"/>
                <w:lang w:val="fr-FR" w:eastAsia="en-CA"/>
              </w:rPr>
              <w:t>Domin</w:t>
            </w:r>
            <w:r w:rsidR="00BC5BC9" w:rsidRPr="00C63A39">
              <w:rPr>
                <w:color w:val="000000"/>
                <w:kern w:val="22"/>
                <w:szCs w:val="22"/>
                <w:lang w:val="fr-FR" w:eastAsia="en-CA"/>
              </w:rPr>
              <w:t xml:space="preserve">ique </w:t>
            </w:r>
          </w:p>
        </w:tc>
        <w:tc>
          <w:tcPr>
            <w:tcW w:w="1540" w:type="dxa"/>
            <w:tcBorders>
              <w:top w:val="nil"/>
              <w:left w:val="nil"/>
              <w:bottom w:val="single" w:sz="4" w:space="0" w:color="auto"/>
              <w:right w:val="single" w:sz="4" w:space="0" w:color="auto"/>
            </w:tcBorders>
            <w:shd w:val="clear" w:color="auto" w:fill="auto"/>
            <w:vAlign w:val="center"/>
            <w:hideMark/>
          </w:tcPr>
          <w:p w14:paraId="1D58915F"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69CDA8D3"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11D29327"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143</w:t>
            </w:r>
          </w:p>
        </w:tc>
      </w:tr>
      <w:tr w:rsidR="00315701" w:rsidRPr="00C63A39" w14:paraId="526CDB16"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3777494" w14:textId="0385D726" w:rsidR="00315701" w:rsidRPr="00C63A39" w:rsidRDefault="00BC5BC9" w:rsidP="00315701">
            <w:pPr>
              <w:rPr>
                <w:color w:val="000000"/>
                <w:kern w:val="22"/>
                <w:szCs w:val="22"/>
                <w:lang w:val="fr-FR" w:eastAsia="en-CA"/>
              </w:rPr>
            </w:pPr>
            <w:r w:rsidRPr="00C63A39">
              <w:rPr>
                <w:color w:val="000000"/>
                <w:kern w:val="22"/>
                <w:szCs w:val="22"/>
                <w:lang w:val="fr-FR" w:eastAsia="en-CA"/>
              </w:rPr>
              <w:t xml:space="preserve">République dominicaine </w:t>
            </w:r>
          </w:p>
        </w:tc>
        <w:tc>
          <w:tcPr>
            <w:tcW w:w="1540" w:type="dxa"/>
            <w:tcBorders>
              <w:top w:val="nil"/>
              <w:left w:val="nil"/>
              <w:bottom w:val="single" w:sz="4" w:space="0" w:color="auto"/>
              <w:right w:val="single" w:sz="4" w:space="0" w:color="auto"/>
            </w:tcBorders>
            <w:shd w:val="clear" w:color="auto" w:fill="auto"/>
            <w:vAlign w:val="center"/>
            <w:hideMark/>
          </w:tcPr>
          <w:p w14:paraId="28C0308D"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0.053 </w:t>
            </w:r>
          </w:p>
        </w:tc>
        <w:tc>
          <w:tcPr>
            <w:tcW w:w="1540" w:type="dxa"/>
            <w:tcBorders>
              <w:top w:val="nil"/>
              <w:left w:val="nil"/>
              <w:bottom w:val="single" w:sz="4" w:space="0" w:color="auto"/>
              <w:right w:val="single" w:sz="4" w:space="0" w:color="auto"/>
            </w:tcBorders>
            <w:shd w:val="clear" w:color="auto" w:fill="auto"/>
            <w:noWrap/>
            <w:vAlign w:val="center"/>
            <w:hideMark/>
          </w:tcPr>
          <w:p w14:paraId="70136271"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0.066 </w:t>
            </w:r>
          </w:p>
        </w:tc>
        <w:tc>
          <w:tcPr>
            <w:tcW w:w="1540" w:type="dxa"/>
            <w:tcBorders>
              <w:top w:val="nil"/>
              <w:left w:val="nil"/>
              <w:bottom w:val="single" w:sz="4" w:space="0" w:color="auto"/>
              <w:right w:val="single" w:sz="4" w:space="0" w:color="auto"/>
            </w:tcBorders>
            <w:shd w:val="clear" w:color="auto" w:fill="auto"/>
            <w:noWrap/>
            <w:vAlign w:val="center"/>
            <w:hideMark/>
          </w:tcPr>
          <w:p w14:paraId="32B4855C"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7,556</w:t>
            </w:r>
          </w:p>
        </w:tc>
      </w:tr>
      <w:tr w:rsidR="00315701" w:rsidRPr="00C63A39" w14:paraId="31ED7A78"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51DAB77" w14:textId="4E1D8F66" w:rsidR="00315701" w:rsidRPr="00C63A39" w:rsidRDefault="00BC5BC9" w:rsidP="00315701">
            <w:pPr>
              <w:rPr>
                <w:color w:val="000000"/>
                <w:kern w:val="22"/>
                <w:szCs w:val="22"/>
                <w:lang w:val="fr-FR" w:eastAsia="en-CA"/>
              </w:rPr>
            </w:pPr>
            <w:r w:rsidRPr="00C63A39">
              <w:rPr>
                <w:color w:val="000000"/>
                <w:kern w:val="22"/>
                <w:szCs w:val="22"/>
                <w:lang w:val="fr-FR" w:eastAsia="en-CA"/>
              </w:rPr>
              <w:t>Équateur</w:t>
            </w:r>
          </w:p>
        </w:tc>
        <w:tc>
          <w:tcPr>
            <w:tcW w:w="1540" w:type="dxa"/>
            <w:tcBorders>
              <w:top w:val="nil"/>
              <w:left w:val="nil"/>
              <w:bottom w:val="single" w:sz="4" w:space="0" w:color="auto"/>
              <w:right w:val="single" w:sz="4" w:space="0" w:color="auto"/>
            </w:tcBorders>
            <w:shd w:val="clear" w:color="auto" w:fill="auto"/>
            <w:vAlign w:val="center"/>
            <w:hideMark/>
          </w:tcPr>
          <w:p w14:paraId="4E47D137"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0.080 </w:t>
            </w:r>
          </w:p>
        </w:tc>
        <w:tc>
          <w:tcPr>
            <w:tcW w:w="1540" w:type="dxa"/>
            <w:tcBorders>
              <w:top w:val="nil"/>
              <w:left w:val="nil"/>
              <w:bottom w:val="single" w:sz="4" w:space="0" w:color="auto"/>
              <w:right w:val="single" w:sz="4" w:space="0" w:color="auto"/>
            </w:tcBorders>
            <w:shd w:val="clear" w:color="auto" w:fill="auto"/>
            <w:noWrap/>
            <w:vAlign w:val="center"/>
            <w:hideMark/>
          </w:tcPr>
          <w:p w14:paraId="343214C8"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0.100 </w:t>
            </w:r>
          </w:p>
        </w:tc>
        <w:tc>
          <w:tcPr>
            <w:tcW w:w="1540" w:type="dxa"/>
            <w:tcBorders>
              <w:top w:val="nil"/>
              <w:left w:val="nil"/>
              <w:bottom w:val="single" w:sz="4" w:space="0" w:color="auto"/>
              <w:right w:val="single" w:sz="4" w:space="0" w:color="auto"/>
            </w:tcBorders>
            <w:shd w:val="clear" w:color="auto" w:fill="auto"/>
            <w:noWrap/>
            <w:vAlign w:val="center"/>
            <w:hideMark/>
          </w:tcPr>
          <w:p w14:paraId="0054026B"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11,405</w:t>
            </w:r>
          </w:p>
        </w:tc>
      </w:tr>
      <w:tr w:rsidR="00315701" w:rsidRPr="00C63A39" w14:paraId="09CE6830"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E801EE4" w14:textId="7E42A38A" w:rsidR="00315701" w:rsidRPr="00C63A39" w:rsidRDefault="00BC5BC9" w:rsidP="00315701">
            <w:pPr>
              <w:rPr>
                <w:color w:val="000000"/>
                <w:kern w:val="22"/>
                <w:szCs w:val="22"/>
                <w:lang w:val="fr-FR" w:eastAsia="en-CA"/>
              </w:rPr>
            </w:pPr>
            <w:r w:rsidRPr="00C63A39">
              <w:rPr>
                <w:color w:val="000000"/>
                <w:kern w:val="22"/>
                <w:szCs w:val="22"/>
                <w:lang w:val="fr-FR" w:eastAsia="en-CA"/>
              </w:rPr>
              <w:t>Égypte</w:t>
            </w:r>
          </w:p>
        </w:tc>
        <w:tc>
          <w:tcPr>
            <w:tcW w:w="1540" w:type="dxa"/>
            <w:tcBorders>
              <w:top w:val="nil"/>
              <w:left w:val="nil"/>
              <w:bottom w:val="single" w:sz="4" w:space="0" w:color="auto"/>
              <w:right w:val="single" w:sz="4" w:space="0" w:color="auto"/>
            </w:tcBorders>
            <w:shd w:val="clear" w:color="auto" w:fill="auto"/>
            <w:vAlign w:val="center"/>
            <w:hideMark/>
          </w:tcPr>
          <w:p w14:paraId="142DFC21"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0.186 </w:t>
            </w:r>
          </w:p>
        </w:tc>
        <w:tc>
          <w:tcPr>
            <w:tcW w:w="1540" w:type="dxa"/>
            <w:tcBorders>
              <w:top w:val="nil"/>
              <w:left w:val="nil"/>
              <w:bottom w:val="single" w:sz="4" w:space="0" w:color="auto"/>
              <w:right w:val="single" w:sz="4" w:space="0" w:color="auto"/>
            </w:tcBorders>
            <w:shd w:val="clear" w:color="auto" w:fill="auto"/>
            <w:noWrap/>
            <w:vAlign w:val="center"/>
            <w:hideMark/>
          </w:tcPr>
          <w:p w14:paraId="432E35A9"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0.233 </w:t>
            </w:r>
          </w:p>
        </w:tc>
        <w:tc>
          <w:tcPr>
            <w:tcW w:w="1540" w:type="dxa"/>
            <w:tcBorders>
              <w:top w:val="nil"/>
              <w:left w:val="nil"/>
              <w:bottom w:val="single" w:sz="4" w:space="0" w:color="auto"/>
              <w:right w:val="single" w:sz="4" w:space="0" w:color="auto"/>
            </w:tcBorders>
            <w:shd w:val="clear" w:color="auto" w:fill="auto"/>
            <w:noWrap/>
            <w:vAlign w:val="center"/>
            <w:hideMark/>
          </w:tcPr>
          <w:p w14:paraId="5ECD6CA9"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26,516</w:t>
            </w:r>
          </w:p>
        </w:tc>
      </w:tr>
      <w:tr w:rsidR="00315701" w:rsidRPr="00C63A39" w14:paraId="53EBC8DC"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E7FB647" w14:textId="31262789" w:rsidR="00315701" w:rsidRPr="00C63A39" w:rsidRDefault="00BC5BC9" w:rsidP="00315701">
            <w:pPr>
              <w:rPr>
                <w:color w:val="000000"/>
                <w:kern w:val="22"/>
                <w:szCs w:val="22"/>
                <w:lang w:val="fr-FR" w:eastAsia="en-CA"/>
              </w:rPr>
            </w:pPr>
            <w:r w:rsidRPr="00C63A39">
              <w:rPr>
                <w:color w:val="000000"/>
                <w:kern w:val="22"/>
                <w:szCs w:val="22"/>
                <w:lang w:val="fr-FR" w:eastAsia="en-CA"/>
              </w:rPr>
              <w:t>Le</w:t>
            </w:r>
            <w:r w:rsidR="00315701" w:rsidRPr="00C63A39">
              <w:rPr>
                <w:color w:val="000000"/>
                <w:kern w:val="22"/>
                <w:szCs w:val="22"/>
                <w:lang w:val="fr-FR" w:eastAsia="en-CA"/>
              </w:rPr>
              <w:t xml:space="preserve"> Salvador</w:t>
            </w:r>
          </w:p>
        </w:tc>
        <w:tc>
          <w:tcPr>
            <w:tcW w:w="1540" w:type="dxa"/>
            <w:tcBorders>
              <w:top w:val="nil"/>
              <w:left w:val="nil"/>
              <w:bottom w:val="single" w:sz="4" w:space="0" w:color="auto"/>
              <w:right w:val="single" w:sz="4" w:space="0" w:color="auto"/>
            </w:tcBorders>
            <w:shd w:val="clear" w:color="auto" w:fill="auto"/>
            <w:vAlign w:val="center"/>
            <w:hideMark/>
          </w:tcPr>
          <w:p w14:paraId="1480AE84"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0.012 </w:t>
            </w:r>
          </w:p>
        </w:tc>
        <w:tc>
          <w:tcPr>
            <w:tcW w:w="1540" w:type="dxa"/>
            <w:tcBorders>
              <w:top w:val="nil"/>
              <w:left w:val="nil"/>
              <w:bottom w:val="single" w:sz="4" w:space="0" w:color="auto"/>
              <w:right w:val="single" w:sz="4" w:space="0" w:color="auto"/>
            </w:tcBorders>
            <w:shd w:val="clear" w:color="auto" w:fill="auto"/>
            <w:noWrap/>
            <w:vAlign w:val="center"/>
            <w:hideMark/>
          </w:tcPr>
          <w:p w14:paraId="27B3C6EF"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0.015 </w:t>
            </w:r>
          </w:p>
        </w:tc>
        <w:tc>
          <w:tcPr>
            <w:tcW w:w="1540" w:type="dxa"/>
            <w:tcBorders>
              <w:top w:val="nil"/>
              <w:left w:val="nil"/>
              <w:bottom w:val="single" w:sz="4" w:space="0" w:color="auto"/>
              <w:right w:val="single" w:sz="4" w:space="0" w:color="auto"/>
            </w:tcBorders>
            <w:shd w:val="clear" w:color="auto" w:fill="auto"/>
            <w:noWrap/>
            <w:vAlign w:val="center"/>
            <w:hideMark/>
          </w:tcPr>
          <w:p w14:paraId="36E39584"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1,711</w:t>
            </w:r>
          </w:p>
        </w:tc>
      </w:tr>
      <w:tr w:rsidR="00315701" w:rsidRPr="00C63A39" w14:paraId="0B046A3C"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7858CF2" w14:textId="3C65176C" w:rsidR="00315701" w:rsidRPr="00C63A39" w:rsidRDefault="00BC5BC9" w:rsidP="00315701">
            <w:pPr>
              <w:rPr>
                <w:color w:val="000000"/>
                <w:kern w:val="22"/>
                <w:szCs w:val="22"/>
                <w:lang w:val="fr-FR" w:eastAsia="en-CA"/>
              </w:rPr>
            </w:pPr>
            <w:r w:rsidRPr="00C63A39">
              <w:rPr>
                <w:color w:val="000000"/>
                <w:kern w:val="22"/>
                <w:szCs w:val="22"/>
                <w:lang w:val="fr-FR" w:eastAsia="en-CA"/>
              </w:rPr>
              <w:t xml:space="preserve">Guinée équatoriale </w:t>
            </w:r>
          </w:p>
        </w:tc>
        <w:tc>
          <w:tcPr>
            <w:tcW w:w="1540" w:type="dxa"/>
            <w:tcBorders>
              <w:top w:val="nil"/>
              <w:left w:val="nil"/>
              <w:bottom w:val="single" w:sz="4" w:space="0" w:color="auto"/>
              <w:right w:val="single" w:sz="4" w:space="0" w:color="auto"/>
            </w:tcBorders>
            <w:shd w:val="clear" w:color="auto" w:fill="auto"/>
            <w:vAlign w:val="center"/>
            <w:hideMark/>
          </w:tcPr>
          <w:p w14:paraId="797CDE67"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0.016 </w:t>
            </w:r>
          </w:p>
        </w:tc>
        <w:tc>
          <w:tcPr>
            <w:tcW w:w="1540" w:type="dxa"/>
            <w:tcBorders>
              <w:top w:val="nil"/>
              <w:left w:val="nil"/>
              <w:bottom w:val="single" w:sz="4" w:space="0" w:color="auto"/>
              <w:right w:val="single" w:sz="4" w:space="0" w:color="auto"/>
            </w:tcBorders>
            <w:shd w:val="clear" w:color="auto" w:fill="auto"/>
            <w:noWrap/>
            <w:vAlign w:val="center"/>
            <w:hideMark/>
          </w:tcPr>
          <w:p w14:paraId="466D01FD"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5EF22864"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1,140</w:t>
            </w:r>
          </w:p>
        </w:tc>
      </w:tr>
    </w:tbl>
    <w:p w14:paraId="0651FF4C" w14:textId="3A18CAC0" w:rsidR="00315701" w:rsidRPr="00C63A39" w:rsidRDefault="00315701" w:rsidP="0079737F">
      <w:pPr>
        <w:autoSpaceDE w:val="0"/>
        <w:autoSpaceDN w:val="0"/>
        <w:adjustRightInd w:val="0"/>
        <w:rPr>
          <w:rFonts w:eastAsiaTheme="minorEastAsia"/>
          <w:bCs/>
          <w:kern w:val="22"/>
          <w:szCs w:val="22"/>
        </w:rPr>
      </w:pPr>
    </w:p>
    <w:p w14:paraId="64270363" w14:textId="77777777" w:rsidR="00315701" w:rsidRPr="00C63A39" w:rsidRDefault="00315701">
      <w:pPr>
        <w:spacing w:after="160" w:line="259" w:lineRule="auto"/>
        <w:rPr>
          <w:rFonts w:eastAsiaTheme="minorEastAsia"/>
          <w:bCs/>
          <w:kern w:val="22"/>
          <w:szCs w:val="22"/>
        </w:rPr>
      </w:pPr>
      <w:r w:rsidRPr="00C63A39">
        <w:rPr>
          <w:rFonts w:eastAsiaTheme="minorEastAsia"/>
          <w:bCs/>
          <w:kern w:val="22"/>
          <w:szCs w:val="22"/>
        </w:rPr>
        <w:br w:type="page"/>
      </w:r>
    </w:p>
    <w:tbl>
      <w:tblPr>
        <w:tblW w:w="9420" w:type="dxa"/>
        <w:tblLook w:val="04A0" w:firstRow="1" w:lastRow="0" w:firstColumn="1" w:lastColumn="0" w:noHBand="0" w:noVBand="1"/>
      </w:tblPr>
      <w:tblGrid>
        <w:gridCol w:w="4800"/>
        <w:gridCol w:w="1540"/>
        <w:gridCol w:w="1540"/>
        <w:gridCol w:w="1540"/>
      </w:tblGrid>
      <w:tr w:rsidR="005F7E95" w:rsidRPr="00C63A39" w14:paraId="7B7ABC20" w14:textId="77777777" w:rsidTr="00315701">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DC667" w14:textId="28C2211E" w:rsidR="005F7E95" w:rsidRPr="00C63A39" w:rsidRDefault="005F7E95" w:rsidP="005F7E95">
            <w:pPr>
              <w:jc w:val="center"/>
              <w:rPr>
                <w:b/>
                <w:bCs/>
                <w:kern w:val="22"/>
                <w:szCs w:val="22"/>
                <w:lang w:eastAsia="en-CA"/>
              </w:rPr>
            </w:pPr>
            <w:r w:rsidRPr="00C63A39">
              <w:rPr>
                <w:b/>
                <w:bCs/>
                <w:kern w:val="22"/>
                <w:szCs w:val="22"/>
                <w:lang w:val="fr-FR" w:eastAsia="en-CA"/>
              </w:rPr>
              <w:lastRenderedPageBreak/>
              <w:t>Partie</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2DE11265" w14:textId="73049FB6" w:rsidR="005F7E95" w:rsidRPr="00C63A39" w:rsidRDefault="005F7E95" w:rsidP="005F7E95">
            <w:pPr>
              <w:jc w:val="center"/>
              <w:rPr>
                <w:b/>
                <w:bCs/>
                <w:color w:val="000000"/>
                <w:kern w:val="22"/>
                <w:szCs w:val="22"/>
                <w:lang w:eastAsia="en-CA"/>
              </w:rPr>
            </w:pPr>
            <w:r w:rsidRPr="00C63A39">
              <w:rPr>
                <w:b/>
                <w:bCs/>
                <w:color w:val="000000"/>
                <w:kern w:val="22"/>
                <w:szCs w:val="22"/>
                <w:lang w:val="fr-FR" w:eastAsia="en-CA"/>
              </w:rPr>
              <w:t xml:space="preserve">Barème des quotes-parts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2E8B7047" w14:textId="4B92A700" w:rsidR="005F7E95" w:rsidRPr="006E23F0" w:rsidRDefault="005F7E95" w:rsidP="005F7E95">
            <w:pPr>
              <w:jc w:val="center"/>
              <w:rPr>
                <w:b/>
                <w:bCs/>
                <w:color w:val="000000"/>
                <w:kern w:val="22"/>
                <w:szCs w:val="22"/>
                <w:lang w:val="fr-CA" w:eastAsia="en-CA"/>
              </w:rPr>
            </w:pPr>
            <w:r w:rsidRPr="00C63A39">
              <w:rPr>
                <w:b/>
                <w:bCs/>
                <w:color w:val="000000"/>
                <w:kern w:val="22"/>
                <w:szCs w:val="22"/>
                <w:lang w:val="fr-FR" w:eastAsia="en-CA"/>
              </w:rPr>
              <w:t>Barème assorti d’un plafond de 22% ; aucun PMA ne paie plus de 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365F277D" w14:textId="189A5766" w:rsidR="005F7E95" w:rsidRPr="00C63A39" w:rsidRDefault="005F7E95" w:rsidP="005F7E95">
            <w:pPr>
              <w:jc w:val="center"/>
              <w:rPr>
                <w:b/>
                <w:bCs/>
                <w:color w:val="000000"/>
                <w:kern w:val="22"/>
                <w:szCs w:val="22"/>
                <w:lang w:eastAsia="en-CA"/>
              </w:rPr>
            </w:pPr>
            <w:r w:rsidRPr="00C63A39">
              <w:rPr>
                <w:b/>
                <w:bCs/>
                <w:color w:val="000000"/>
                <w:kern w:val="22"/>
                <w:szCs w:val="22"/>
                <w:lang w:val="fr-FR" w:eastAsia="en-CA"/>
              </w:rPr>
              <w:t>Contributions au 1er janvier 2020</w:t>
            </w:r>
          </w:p>
        </w:tc>
      </w:tr>
      <w:tr w:rsidR="00315701" w:rsidRPr="00C63A39" w14:paraId="3402E09B"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E901009" w14:textId="77777777" w:rsidR="00315701" w:rsidRPr="00C63A39" w:rsidRDefault="00315701" w:rsidP="00315701">
            <w:pPr>
              <w:rPr>
                <w:color w:val="000000"/>
                <w:kern w:val="22"/>
                <w:szCs w:val="22"/>
                <w:lang w:eastAsia="en-CA"/>
              </w:rPr>
            </w:pPr>
            <w:r w:rsidRPr="00C63A39">
              <w:rPr>
                <w:color w:val="000000"/>
                <w:kern w:val="22"/>
                <w:szCs w:val="22"/>
                <w:lang w:eastAsia="en-CA"/>
              </w:rPr>
              <w:t>Eritrea</w:t>
            </w:r>
          </w:p>
        </w:tc>
        <w:tc>
          <w:tcPr>
            <w:tcW w:w="1540" w:type="dxa"/>
            <w:tcBorders>
              <w:top w:val="nil"/>
              <w:left w:val="nil"/>
              <w:bottom w:val="single" w:sz="4" w:space="0" w:color="auto"/>
              <w:right w:val="single" w:sz="4" w:space="0" w:color="auto"/>
            </w:tcBorders>
            <w:shd w:val="clear" w:color="auto" w:fill="auto"/>
            <w:vAlign w:val="center"/>
            <w:hideMark/>
          </w:tcPr>
          <w:p w14:paraId="67C3FF36"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6522A191"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7C9D278A"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143</w:t>
            </w:r>
          </w:p>
        </w:tc>
      </w:tr>
      <w:tr w:rsidR="00315701" w:rsidRPr="00C63A39" w14:paraId="755A7F7A"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D6F5D5E" w14:textId="77777777" w:rsidR="00315701" w:rsidRPr="00C63A39" w:rsidRDefault="00315701" w:rsidP="00315701">
            <w:pPr>
              <w:rPr>
                <w:color w:val="000000"/>
                <w:kern w:val="22"/>
                <w:szCs w:val="22"/>
                <w:lang w:eastAsia="en-CA"/>
              </w:rPr>
            </w:pPr>
            <w:r w:rsidRPr="00C63A39">
              <w:rPr>
                <w:color w:val="000000"/>
                <w:kern w:val="22"/>
                <w:szCs w:val="22"/>
                <w:lang w:eastAsia="en-CA"/>
              </w:rPr>
              <w:t>Estonia</w:t>
            </w:r>
          </w:p>
        </w:tc>
        <w:tc>
          <w:tcPr>
            <w:tcW w:w="1540" w:type="dxa"/>
            <w:tcBorders>
              <w:top w:val="nil"/>
              <w:left w:val="nil"/>
              <w:bottom w:val="single" w:sz="4" w:space="0" w:color="auto"/>
              <w:right w:val="single" w:sz="4" w:space="0" w:color="auto"/>
            </w:tcBorders>
            <w:shd w:val="clear" w:color="auto" w:fill="auto"/>
            <w:vAlign w:val="center"/>
            <w:hideMark/>
          </w:tcPr>
          <w:p w14:paraId="645DCECA"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0.039 </w:t>
            </w:r>
          </w:p>
        </w:tc>
        <w:tc>
          <w:tcPr>
            <w:tcW w:w="1540" w:type="dxa"/>
            <w:tcBorders>
              <w:top w:val="nil"/>
              <w:left w:val="nil"/>
              <w:bottom w:val="single" w:sz="4" w:space="0" w:color="auto"/>
              <w:right w:val="single" w:sz="4" w:space="0" w:color="auto"/>
            </w:tcBorders>
            <w:shd w:val="clear" w:color="auto" w:fill="auto"/>
            <w:noWrap/>
            <w:vAlign w:val="center"/>
            <w:hideMark/>
          </w:tcPr>
          <w:p w14:paraId="7DD30E18"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0.049 </w:t>
            </w:r>
          </w:p>
        </w:tc>
        <w:tc>
          <w:tcPr>
            <w:tcW w:w="1540" w:type="dxa"/>
            <w:tcBorders>
              <w:top w:val="nil"/>
              <w:left w:val="nil"/>
              <w:bottom w:val="single" w:sz="4" w:space="0" w:color="auto"/>
              <w:right w:val="single" w:sz="4" w:space="0" w:color="auto"/>
            </w:tcBorders>
            <w:shd w:val="clear" w:color="auto" w:fill="auto"/>
            <w:noWrap/>
            <w:vAlign w:val="center"/>
            <w:hideMark/>
          </w:tcPr>
          <w:p w14:paraId="24D0B272"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5,560</w:t>
            </w:r>
          </w:p>
        </w:tc>
      </w:tr>
      <w:tr w:rsidR="00315701" w:rsidRPr="00C63A39" w14:paraId="73244AC4"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BD950C6" w14:textId="77777777" w:rsidR="00315701" w:rsidRPr="00C63A39" w:rsidRDefault="00315701" w:rsidP="00315701">
            <w:pPr>
              <w:rPr>
                <w:color w:val="000000"/>
                <w:kern w:val="22"/>
                <w:szCs w:val="22"/>
                <w:lang w:eastAsia="en-CA"/>
              </w:rPr>
            </w:pPr>
            <w:r w:rsidRPr="00C63A39">
              <w:rPr>
                <w:color w:val="000000"/>
                <w:kern w:val="22"/>
                <w:szCs w:val="22"/>
                <w:lang w:eastAsia="en-CA"/>
              </w:rPr>
              <w:t>Eswatini</w:t>
            </w:r>
          </w:p>
        </w:tc>
        <w:tc>
          <w:tcPr>
            <w:tcW w:w="1540" w:type="dxa"/>
            <w:tcBorders>
              <w:top w:val="nil"/>
              <w:left w:val="nil"/>
              <w:bottom w:val="single" w:sz="4" w:space="0" w:color="auto"/>
              <w:right w:val="single" w:sz="4" w:space="0" w:color="auto"/>
            </w:tcBorders>
            <w:shd w:val="clear" w:color="auto" w:fill="auto"/>
            <w:vAlign w:val="center"/>
            <w:hideMark/>
          </w:tcPr>
          <w:p w14:paraId="4AFC93AC"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56B9FBDC"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3800009D"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285</w:t>
            </w:r>
          </w:p>
        </w:tc>
      </w:tr>
      <w:tr w:rsidR="00315701" w:rsidRPr="00C63A39" w14:paraId="7AE35B2E"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2554932" w14:textId="125EF66E" w:rsidR="00315701" w:rsidRPr="00C63A39" w:rsidRDefault="009B3344" w:rsidP="00315701">
            <w:pPr>
              <w:rPr>
                <w:color w:val="000000"/>
                <w:kern w:val="22"/>
                <w:szCs w:val="22"/>
                <w:lang w:val="fr-FR" w:eastAsia="en-CA"/>
              </w:rPr>
            </w:pPr>
            <w:r w:rsidRPr="00C63A39">
              <w:rPr>
                <w:color w:val="000000"/>
                <w:kern w:val="22"/>
                <w:szCs w:val="22"/>
                <w:lang w:val="fr-FR" w:eastAsia="en-CA"/>
              </w:rPr>
              <w:t>Éthiopie</w:t>
            </w:r>
          </w:p>
        </w:tc>
        <w:tc>
          <w:tcPr>
            <w:tcW w:w="1540" w:type="dxa"/>
            <w:tcBorders>
              <w:top w:val="nil"/>
              <w:left w:val="nil"/>
              <w:bottom w:val="single" w:sz="4" w:space="0" w:color="auto"/>
              <w:right w:val="single" w:sz="4" w:space="0" w:color="auto"/>
            </w:tcBorders>
            <w:shd w:val="clear" w:color="auto" w:fill="auto"/>
            <w:vAlign w:val="center"/>
            <w:hideMark/>
          </w:tcPr>
          <w:p w14:paraId="2CE5F714"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0D449408"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1AEFC19D"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1,140</w:t>
            </w:r>
          </w:p>
        </w:tc>
      </w:tr>
      <w:tr w:rsidR="00315701" w:rsidRPr="00C63A39" w14:paraId="2147B5CB"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F2DE7EC" w14:textId="25FDA70F" w:rsidR="00315701" w:rsidRPr="00C63A39" w:rsidRDefault="009B3344" w:rsidP="00315701">
            <w:pPr>
              <w:rPr>
                <w:color w:val="000000"/>
                <w:kern w:val="22"/>
                <w:szCs w:val="22"/>
                <w:lang w:val="fr-FR" w:eastAsia="en-CA"/>
              </w:rPr>
            </w:pPr>
            <w:r w:rsidRPr="00C63A39">
              <w:rPr>
                <w:color w:val="000000"/>
                <w:kern w:val="22"/>
                <w:szCs w:val="22"/>
                <w:lang w:val="fr-FR" w:eastAsia="en-CA"/>
              </w:rPr>
              <w:t>Union Européenne</w:t>
            </w:r>
          </w:p>
        </w:tc>
        <w:tc>
          <w:tcPr>
            <w:tcW w:w="1540" w:type="dxa"/>
            <w:tcBorders>
              <w:top w:val="nil"/>
              <w:left w:val="nil"/>
              <w:bottom w:val="single" w:sz="4" w:space="0" w:color="auto"/>
              <w:right w:val="single" w:sz="4" w:space="0" w:color="auto"/>
            </w:tcBorders>
            <w:shd w:val="clear" w:color="auto" w:fill="auto"/>
            <w:vAlign w:val="center"/>
            <w:hideMark/>
          </w:tcPr>
          <w:p w14:paraId="1F273E73" w14:textId="77777777" w:rsidR="00315701" w:rsidRPr="00C63A39" w:rsidRDefault="00315701" w:rsidP="00315701">
            <w:pPr>
              <w:rPr>
                <w:color w:val="000000"/>
                <w:kern w:val="22"/>
                <w:szCs w:val="22"/>
                <w:lang w:eastAsia="en-CA"/>
              </w:rPr>
            </w:pPr>
            <w:r w:rsidRPr="00C63A39">
              <w:rPr>
                <w:color w:val="000000"/>
                <w:kern w:val="22"/>
                <w:szCs w:val="22"/>
                <w:lang w:eastAsia="en-CA"/>
              </w:rPr>
              <w:t> </w:t>
            </w:r>
          </w:p>
        </w:tc>
        <w:tc>
          <w:tcPr>
            <w:tcW w:w="1540" w:type="dxa"/>
            <w:tcBorders>
              <w:top w:val="nil"/>
              <w:left w:val="nil"/>
              <w:bottom w:val="single" w:sz="4" w:space="0" w:color="auto"/>
              <w:right w:val="single" w:sz="4" w:space="0" w:color="auto"/>
            </w:tcBorders>
            <w:shd w:val="clear" w:color="auto" w:fill="auto"/>
            <w:noWrap/>
            <w:vAlign w:val="center"/>
            <w:hideMark/>
          </w:tcPr>
          <w:p w14:paraId="3F93830A"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2.500 </w:t>
            </w:r>
          </w:p>
        </w:tc>
        <w:tc>
          <w:tcPr>
            <w:tcW w:w="1540" w:type="dxa"/>
            <w:tcBorders>
              <w:top w:val="nil"/>
              <w:left w:val="nil"/>
              <w:bottom w:val="single" w:sz="4" w:space="0" w:color="auto"/>
              <w:right w:val="single" w:sz="4" w:space="0" w:color="auto"/>
            </w:tcBorders>
            <w:shd w:val="clear" w:color="auto" w:fill="auto"/>
            <w:noWrap/>
            <w:vAlign w:val="center"/>
            <w:hideMark/>
          </w:tcPr>
          <w:p w14:paraId="1916F87E"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285,068</w:t>
            </w:r>
          </w:p>
        </w:tc>
      </w:tr>
      <w:tr w:rsidR="00315701" w:rsidRPr="00C63A39" w14:paraId="0EFC32FA"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715F32D" w14:textId="3A62549E" w:rsidR="00315701" w:rsidRPr="00C63A39" w:rsidRDefault="00315701" w:rsidP="00315701">
            <w:pPr>
              <w:rPr>
                <w:color w:val="000000"/>
                <w:kern w:val="22"/>
                <w:szCs w:val="22"/>
                <w:lang w:val="fr-FR" w:eastAsia="en-CA"/>
              </w:rPr>
            </w:pPr>
            <w:r w:rsidRPr="00C63A39">
              <w:rPr>
                <w:color w:val="000000"/>
                <w:kern w:val="22"/>
                <w:szCs w:val="22"/>
                <w:lang w:val="fr-FR" w:eastAsia="en-CA"/>
              </w:rPr>
              <w:t>Fi</w:t>
            </w:r>
            <w:r w:rsidR="009B3344" w:rsidRPr="00C63A39">
              <w:rPr>
                <w:color w:val="000000"/>
                <w:kern w:val="22"/>
                <w:szCs w:val="22"/>
                <w:lang w:val="fr-FR" w:eastAsia="en-CA"/>
              </w:rPr>
              <w:t>dji</w:t>
            </w:r>
          </w:p>
        </w:tc>
        <w:tc>
          <w:tcPr>
            <w:tcW w:w="1540" w:type="dxa"/>
            <w:tcBorders>
              <w:top w:val="nil"/>
              <w:left w:val="nil"/>
              <w:bottom w:val="single" w:sz="4" w:space="0" w:color="auto"/>
              <w:right w:val="single" w:sz="4" w:space="0" w:color="auto"/>
            </w:tcBorders>
            <w:shd w:val="clear" w:color="auto" w:fill="auto"/>
            <w:vAlign w:val="center"/>
            <w:hideMark/>
          </w:tcPr>
          <w:p w14:paraId="001EFBAA"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3FA954F7"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5E2D6803"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428</w:t>
            </w:r>
          </w:p>
        </w:tc>
      </w:tr>
      <w:tr w:rsidR="00315701" w:rsidRPr="00C63A39" w14:paraId="4899BE9B"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C3C6C45" w14:textId="6955174C" w:rsidR="00315701" w:rsidRPr="00C63A39" w:rsidRDefault="00315701" w:rsidP="00315701">
            <w:pPr>
              <w:rPr>
                <w:color w:val="000000"/>
                <w:kern w:val="22"/>
                <w:szCs w:val="22"/>
                <w:lang w:val="fr-FR" w:eastAsia="en-CA"/>
              </w:rPr>
            </w:pPr>
            <w:r w:rsidRPr="00C63A39">
              <w:rPr>
                <w:color w:val="000000"/>
                <w:kern w:val="22"/>
                <w:szCs w:val="22"/>
                <w:lang w:val="fr-FR" w:eastAsia="en-CA"/>
              </w:rPr>
              <w:t>Finland</w:t>
            </w:r>
            <w:r w:rsidR="009B3344" w:rsidRPr="00C63A39">
              <w:rPr>
                <w:color w:val="000000"/>
                <w:kern w:val="22"/>
                <w:szCs w:val="22"/>
                <w:lang w:val="fr-FR" w:eastAsia="en-CA"/>
              </w:rPr>
              <w:t>e</w:t>
            </w:r>
          </w:p>
        </w:tc>
        <w:tc>
          <w:tcPr>
            <w:tcW w:w="1540" w:type="dxa"/>
            <w:tcBorders>
              <w:top w:val="nil"/>
              <w:left w:val="nil"/>
              <w:bottom w:val="single" w:sz="4" w:space="0" w:color="auto"/>
              <w:right w:val="single" w:sz="4" w:space="0" w:color="auto"/>
            </w:tcBorders>
            <w:shd w:val="clear" w:color="auto" w:fill="auto"/>
            <w:vAlign w:val="center"/>
            <w:hideMark/>
          </w:tcPr>
          <w:p w14:paraId="35128FE6"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0.421 </w:t>
            </w:r>
          </w:p>
        </w:tc>
        <w:tc>
          <w:tcPr>
            <w:tcW w:w="1540" w:type="dxa"/>
            <w:tcBorders>
              <w:top w:val="nil"/>
              <w:left w:val="nil"/>
              <w:bottom w:val="single" w:sz="4" w:space="0" w:color="auto"/>
              <w:right w:val="single" w:sz="4" w:space="0" w:color="auto"/>
            </w:tcBorders>
            <w:shd w:val="clear" w:color="auto" w:fill="auto"/>
            <w:noWrap/>
            <w:vAlign w:val="center"/>
            <w:hideMark/>
          </w:tcPr>
          <w:p w14:paraId="242735B6"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0.526 </w:t>
            </w:r>
          </w:p>
        </w:tc>
        <w:tc>
          <w:tcPr>
            <w:tcW w:w="1540" w:type="dxa"/>
            <w:tcBorders>
              <w:top w:val="nil"/>
              <w:left w:val="nil"/>
              <w:bottom w:val="single" w:sz="4" w:space="0" w:color="auto"/>
              <w:right w:val="single" w:sz="4" w:space="0" w:color="auto"/>
            </w:tcBorders>
            <w:shd w:val="clear" w:color="auto" w:fill="auto"/>
            <w:noWrap/>
            <w:vAlign w:val="center"/>
            <w:hideMark/>
          </w:tcPr>
          <w:p w14:paraId="0F4441B7"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60,017</w:t>
            </w:r>
          </w:p>
        </w:tc>
      </w:tr>
      <w:tr w:rsidR="00315701" w:rsidRPr="00C63A39" w14:paraId="56C38FC3"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D3211D5" w14:textId="77777777" w:rsidR="00315701" w:rsidRPr="00C63A39" w:rsidRDefault="00315701" w:rsidP="00315701">
            <w:pPr>
              <w:rPr>
                <w:color w:val="000000"/>
                <w:kern w:val="22"/>
                <w:szCs w:val="22"/>
                <w:lang w:eastAsia="en-CA"/>
              </w:rPr>
            </w:pPr>
            <w:r w:rsidRPr="00C63A39">
              <w:rPr>
                <w:color w:val="000000"/>
                <w:kern w:val="22"/>
                <w:szCs w:val="22"/>
                <w:lang w:eastAsia="en-CA"/>
              </w:rPr>
              <w:t>France</w:t>
            </w:r>
          </w:p>
        </w:tc>
        <w:tc>
          <w:tcPr>
            <w:tcW w:w="1540" w:type="dxa"/>
            <w:tcBorders>
              <w:top w:val="nil"/>
              <w:left w:val="nil"/>
              <w:bottom w:val="single" w:sz="4" w:space="0" w:color="auto"/>
              <w:right w:val="single" w:sz="4" w:space="0" w:color="auto"/>
            </w:tcBorders>
            <w:shd w:val="clear" w:color="auto" w:fill="auto"/>
            <w:vAlign w:val="center"/>
            <w:hideMark/>
          </w:tcPr>
          <w:p w14:paraId="14E2E3D6"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4.427 </w:t>
            </w:r>
          </w:p>
        </w:tc>
        <w:tc>
          <w:tcPr>
            <w:tcW w:w="1540" w:type="dxa"/>
            <w:tcBorders>
              <w:top w:val="nil"/>
              <w:left w:val="nil"/>
              <w:bottom w:val="single" w:sz="4" w:space="0" w:color="auto"/>
              <w:right w:val="single" w:sz="4" w:space="0" w:color="auto"/>
            </w:tcBorders>
            <w:shd w:val="clear" w:color="auto" w:fill="auto"/>
            <w:noWrap/>
            <w:vAlign w:val="center"/>
            <w:hideMark/>
          </w:tcPr>
          <w:p w14:paraId="5F4B38D8"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5.535 </w:t>
            </w:r>
          </w:p>
        </w:tc>
        <w:tc>
          <w:tcPr>
            <w:tcW w:w="1540" w:type="dxa"/>
            <w:tcBorders>
              <w:top w:val="nil"/>
              <w:left w:val="nil"/>
              <w:bottom w:val="single" w:sz="4" w:space="0" w:color="auto"/>
              <w:right w:val="single" w:sz="4" w:space="0" w:color="auto"/>
            </w:tcBorders>
            <w:shd w:val="clear" w:color="auto" w:fill="auto"/>
            <w:noWrap/>
            <w:vAlign w:val="center"/>
            <w:hideMark/>
          </w:tcPr>
          <w:p w14:paraId="63D0A7D5"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631,110</w:t>
            </w:r>
          </w:p>
        </w:tc>
      </w:tr>
      <w:tr w:rsidR="00315701" w:rsidRPr="00C63A39" w14:paraId="44F00076"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76F0F92" w14:textId="77777777" w:rsidR="00315701" w:rsidRPr="00C63A39" w:rsidRDefault="00315701" w:rsidP="00315701">
            <w:pPr>
              <w:rPr>
                <w:color w:val="000000"/>
                <w:kern w:val="22"/>
                <w:szCs w:val="22"/>
                <w:lang w:eastAsia="en-CA"/>
              </w:rPr>
            </w:pPr>
            <w:r w:rsidRPr="00C63A39">
              <w:rPr>
                <w:color w:val="000000"/>
                <w:kern w:val="22"/>
                <w:szCs w:val="22"/>
                <w:lang w:eastAsia="en-CA"/>
              </w:rPr>
              <w:t>Gabon</w:t>
            </w:r>
          </w:p>
        </w:tc>
        <w:tc>
          <w:tcPr>
            <w:tcW w:w="1540" w:type="dxa"/>
            <w:tcBorders>
              <w:top w:val="nil"/>
              <w:left w:val="nil"/>
              <w:bottom w:val="single" w:sz="4" w:space="0" w:color="auto"/>
              <w:right w:val="single" w:sz="4" w:space="0" w:color="auto"/>
            </w:tcBorders>
            <w:shd w:val="clear" w:color="auto" w:fill="auto"/>
            <w:vAlign w:val="center"/>
            <w:hideMark/>
          </w:tcPr>
          <w:p w14:paraId="6AB524CF"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0.015 </w:t>
            </w:r>
          </w:p>
        </w:tc>
        <w:tc>
          <w:tcPr>
            <w:tcW w:w="1540" w:type="dxa"/>
            <w:tcBorders>
              <w:top w:val="nil"/>
              <w:left w:val="nil"/>
              <w:bottom w:val="single" w:sz="4" w:space="0" w:color="auto"/>
              <w:right w:val="single" w:sz="4" w:space="0" w:color="auto"/>
            </w:tcBorders>
            <w:shd w:val="clear" w:color="auto" w:fill="auto"/>
            <w:noWrap/>
            <w:vAlign w:val="center"/>
            <w:hideMark/>
          </w:tcPr>
          <w:p w14:paraId="4252120F"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0.019 </w:t>
            </w:r>
          </w:p>
        </w:tc>
        <w:tc>
          <w:tcPr>
            <w:tcW w:w="1540" w:type="dxa"/>
            <w:tcBorders>
              <w:top w:val="nil"/>
              <w:left w:val="nil"/>
              <w:bottom w:val="single" w:sz="4" w:space="0" w:color="auto"/>
              <w:right w:val="single" w:sz="4" w:space="0" w:color="auto"/>
            </w:tcBorders>
            <w:shd w:val="clear" w:color="auto" w:fill="auto"/>
            <w:noWrap/>
            <w:vAlign w:val="center"/>
            <w:hideMark/>
          </w:tcPr>
          <w:p w14:paraId="618BA2C3"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2,138</w:t>
            </w:r>
          </w:p>
        </w:tc>
      </w:tr>
      <w:tr w:rsidR="00315701" w:rsidRPr="00C63A39" w14:paraId="1702D965"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64E7EBE" w14:textId="40B2012A" w:rsidR="00315701" w:rsidRPr="00C63A39" w:rsidRDefault="00315701" w:rsidP="00315701">
            <w:pPr>
              <w:rPr>
                <w:color w:val="000000"/>
                <w:kern w:val="22"/>
                <w:szCs w:val="22"/>
                <w:lang w:val="fr-FR" w:eastAsia="en-CA"/>
              </w:rPr>
            </w:pPr>
            <w:r w:rsidRPr="00C63A39">
              <w:rPr>
                <w:color w:val="000000"/>
                <w:kern w:val="22"/>
                <w:szCs w:val="22"/>
                <w:lang w:val="fr-FR" w:eastAsia="en-CA"/>
              </w:rPr>
              <w:t>Gambi</w:t>
            </w:r>
            <w:r w:rsidR="009B3344" w:rsidRPr="00C63A39">
              <w:rPr>
                <w:color w:val="000000"/>
                <w:kern w:val="22"/>
                <w:szCs w:val="22"/>
                <w:lang w:val="fr-FR" w:eastAsia="en-CA"/>
              </w:rPr>
              <w:t>e</w:t>
            </w:r>
          </w:p>
        </w:tc>
        <w:tc>
          <w:tcPr>
            <w:tcW w:w="1540" w:type="dxa"/>
            <w:tcBorders>
              <w:top w:val="nil"/>
              <w:left w:val="nil"/>
              <w:bottom w:val="single" w:sz="4" w:space="0" w:color="auto"/>
              <w:right w:val="single" w:sz="4" w:space="0" w:color="auto"/>
            </w:tcBorders>
            <w:shd w:val="clear" w:color="auto" w:fill="auto"/>
            <w:vAlign w:val="center"/>
            <w:hideMark/>
          </w:tcPr>
          <w:p w14:paraId="4C610AA0"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41E18087"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030CA42C"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143</w:t>
            </w:r>
          </w:p>
        </w:tc>
      </w:tr>
      <w:tr w:rsidR="00315701" w:rsidRPr="00C63A39" w14:paraId="2B7C8013"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35AAE04" w14:textId="75F94EDB" w:rsidR="00315701" w:rsidRPr="00C63A39" w:rsidRDefault="00315701" w:rsidP="00315701">
            <w:pPr>
              <w:rPr>
                <w:color w:val="000000"/>
                <w:kern w:val="22"/>
                <w:szCs w:val="22"/>
                <w:lang w:val="fr-FR" w:eastAsia="en-CA"/>
              </w:rPr>
            </w:pPr>
            <w:r w:rsidRPr="00C63A39">
              <w:rPr>
                <w:color w:val="000000"/>
                <w:kern w:val="22"/>
                <w:szCs w:val="22"/>
                <w:lang w:val="fr-FR" w:eastAsia="en-CA"/>
              </w:rPr>
              <w:t>G</w:t>
            </w:r>
            <w:r w:rsidR="009B3344" w:rsidRPr="00C63A39">
              <w:rPr>
                <w:color w:val="000000"/>
                <w:kern w:val="22"/>
                <w:szCs w:val="22"/>
                <w:lang w:val="fr-FR" w:eastAsia="en-CA"/>
              </w:rPr>
              <w:t>éorgie</w:t>
            </w:r>
          </w:p>
        </w:tc>
        <w:tc>
          <w:tcPr>
            <w:tcW w:w="1540" w:type="dxa"/>
            <w:tcBorders>
              <w:top w:val="nil"/>
              <w:left w:val="nil"/>
              <w:bottom w:val="single" w:sz="4" w:space="0" w:color="auto"/>
              <w:right w:val="single" w:sz="4" w:space="0" w:color="auto"/>
            </w:tcBorders>
            <w:shd w:val="clear" w:color="auto" w:fill="auto"/>
            <w:vAlign w:val="center"/>
            <w:hideMark/>
          </w:tcPr>
          <w:p w14:paraId="28D2B462"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0.008 </w:t>
            </w:r>
          </w:p>
        </w:tc>
        <w:tc>
          <w:tcPr>
            <w:tcW w:w="1540" w:type="dxa"/>
            <w:tcBorders>
              <w:top w:val="nil"/>
              <w:left w:val="nil"/>
              <w:bottom w:val="single" w:sz="4" w:space="0" w:color="auto"/>
              <w:right w:val="single" w:sz="4" w:space="0" w:color="auto"/>
            </w:tcBorders>
            <w:shd w:val="clear" w:color="auto" w:fill="auto"/>
            <w:noWrap/>
            <w:vAlign w:val="center"/>
            <w:hideMark/>
          </w:tcPr>
          <w:p w14:paraId="365EE0C7"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70E20F93"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1,140</w:t>
            </w:r>
          </w:p>
        </w:tc>
      </w:tr>
      <w:tr w:rsidR="00315701" w:rsidRPr="00C63A39" w14:paraId="5F265EAB"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24A348A" w14:textId="446B1705" w:rsidR="00315701" w:rsidRPr="00C63A39" w:rsidRDefault="009B3344" w:rsidP="00315701">
            <w:pPr>
              <w:rPr>
                <w:color w:val="000000"/>
                <w:kern w:val="22"/>
                <w:szCs w:val="22"/>
                <w:lang w:val="fr-FR" w:eastAsia="en-CA"/>
              </w:rPr>
            </w:pPr>
            <w:r w:rsidRPr="00C63A39">
              <w:rPr>
                <w:color w:val="000000"/>
                <w:kern w:val="22"/>
                <w:szCs w:val="22"/>
                <w:lang w:val="fr-FR" w:eastAsia="en-CA"/>
              </w:rPr>
              <w:t xml:space="preserve">Allemagne </w:t>
            </w:r>
          </w:p>
        </w:tc>
        <w:tc>
          <w:tcPr>
            <w:tcW w:w="1540" w:type="dxa"/>
            <w:tcBorders>
              <w:top w:val="nil"/>
              <w:left w:val="nil"/>
              <w:bottom w:val="single" w:sz="4" w:space="0" w:color="auto"/>
              <w:right w:val="single" w:sz="4" w:space="0" w:color="auto"/>
            </w:tcBorders>
            <w:shd w:val="clear" w:color="auto" w:fill="auto"/>
            <w:vAlign w:val="center"/>
            <w:hideMark/>
          </w:tcPr>
          <w:p w14:paraId="53CE7197"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6.090 </w:t>
            </w:r>
          </w:p>
        </w:tc>
        <w:tc>
          <w:tcPr>
            <w:tcW w:w="1540" w:type="dxa"/>
            <w:tcBorders>
              <w:top w:val="nil"/>
              <w:left w:val="nil"/>
              <w:bottom w:val="single" w:sz="4" w:space="0" w:color="auto"/>
              <w:right w:val="single" w:sz="4" w:space="0" w:color="auto"/>
            </w:tcBorders>
            <w:shd w:val="clear" w:color="auto" w:fill="auto"/>
            <w:noWrap/>
            <w:vAlign w:val="center"/>
            <w:hideMark/>
          </w:tcPr>
          <w:p w14:paraId="31E8976E"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7.614 </w:t>
            </w:r>
          </w:p>
        </w:tc>
        <w:tc>
          <w:tcPr>
            <w:tcW w:w="1540" w:type="dxa"/>
            <w:tcBorders>
              <w:top w:val="nil"/>
              <w:left w:val="nil"/>
              <w:bottom w:val="single" w:sz="4" w:space="0" w:color="auto"/>
              <w:right w:val="single" w:sz="4" w:space="0" w:color="auto"/>
            </w:tcBorders>
            <w:shd w:val="clear" w:color="auto" w:fill="auto"/>
            <w:noWrap/>
            <w:vAlign w:val="center"/>
            <w:hideMark/>
          </w:tcPr>
          <w:p w14:paraId="43062E2D"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868,187</w:t>
            </w:r>
          </w:p>
        </w:tc>
      </w:tr>
      <w:tr w:rsidR="00315701" w:rsidRPr="00C63A39" w14:paraId="21BF16DC"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E0ABCA8" w14:textId="33D35985" w:rsidR="00315701" w:rsidRPr="00C63A39" w:rsidRDefault="00315701" w:rsidP="00315701">
            <w:pPr>
              <w:rPr>
                <w:color w:val="000000"/>
                <w:kern w:val="22"/>
                <w:szCs w:val="22"/>
                <w:lang w:val="fr-FR" w:eastAsia="en-CA"/>
              </w:rPr>
            </w:pPr>
            <w:r w:rsidRPr="00C63A39">
              <w:rPr>
                <w:color w:val="000000"/>
                <w:kern w:val="22"/>
                <w:szCs w:val="22"/>
                <w:lang w:val="fr-FR" w:eastAsia="en-CA"/>
              </w:rPr>
              <w:t>Gha</w:t>
            </w:r>
            <w:r w:rsidR="009B3344" w:rsidRPr="00C63A39">
              <w:rPr>
                <w:color w:val="000000"/>
                <w:kern w:val="22"/>
                <w:szCs w:val="22"/>
                <w:lang w:val="fr-FR" w:eastAsia="en-CA"/>
              </w:rPr>
              <w:t>na</w:t>
            </w:r>
          </w:p>
        </w:tc>
        <w:tc>
          <w:tcPr>
            <w:tcW w:w="1540" w:type="dxa"/>
            <w:tcBorders>
              <w:top w:val="nil"/>
              <w:left w:val="nil"/>
              <w:bottom w:val="single" w:sz="4" w:space="0" w:color="auto"/>
              <w:right w:val="single" w:sz="4" w:space="0" w:color="auto"/>
            </w:tcBorders>
            <w:shd w:val="clear" w:color="auto" w:fill="auto"/>
            <w:vAlign w:val="center"/>
            <w:hideMark/>
          </w:tcPr>
          <w:p w14:paraId="5CF46081"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0.015 </w:t>
            </w:r>
          </w:p>
        </w:tc>
        <w:tc>
          <w:tcPr>
            <w:tcW w:w="1540" w:type="dxa"/>
            <w:tcBorders>
              <w:top w:val="nil"/>
              <w:left w:val="nil"/>
              <w:bottom w:val="single" w:sz="4" w:space="0" w:color="auto"/>
              <w:right w:val="single" w:sz="4" w:space="0" w:color="auto"/>
            </w:tcBorders>
            <w:shd w:val="clear" w:color="auto" w:fill="auto"/>
            <w:noWrap/>
            <w:vAlign w:val="center"/>
            <w:hideMark/>
          </w:tcPr>
          <w:p w14:paraId="26272F26"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0.019 </w:t>
            </w:r>
          </w:p>
        </w:tc>
        <w:tc>
          <w:tcPr>
            <w:tcW w:w="1540" w:type="dxa"/>
            <w:tcBorders>
              <w:top w:val="nil"/>
              <w:left w:val="nil"/>
              <w:bottom w:val="single" w:sz="4" w:space="0" w:color="auto"/>
              <w:right w:val="single" w:sz="4" w:space="0" w:color="auto"/>
            </w:tcBorders>
            <w:shd w:val="clear" w:color="auto" w:fill="auto"/>
            <w:noWrap/>
            <w:vAlign w:val="center"/>
            <w:hideMark/>
          </w:tcPr>
          <w:p w14:paraId="48488910"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2,138</w:t>
            </w:r>
          </w:p>
        </w:tc>
      </w:tr>
      <w:tr w:rsidR="00315701" w:rsidRPr="00C63A39" w14:paraId="2C3169E0"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ADCCCEA" w14:textId="63F61239" w:rsidR="00315701" w:rsidRPr="00C63A39" w:rsidRDefault="00315701" w:rsidP="00315701">
            <w:pPr>
              <w:rPr>
                <w:color w:val="000000"/>
                <w:kern w:val="22"/>
                <w:szCs w:val="22"/>
                <w:lang w:val="fr-FR" w:eastAsia="en-CA"/>
              </w:rPr>
            </w:pPr>
            <w:r w:rsidRPr="00C63A39">
              <w:rPr>
                <w:color w:val="000000"/>
                <w:kern w:val="22"/>
                <w:szCs w:val="22"/>
                <w:lang w:val="fr-FR" w:eastAsia="en-CA"/>
              </w:rPr>
              <w:t>Gr</w:t>
            </w:r>
            <w:r w:rsidR="009B3344" w:rsidRPr="00C63A39">
              <w:rPr>
                <w:color w:val="000000"/>
                <w:kern w:val="22"/>
                <w:szCs w:val="22"/>
                <w:lang w:val="fr-FR" w:eastAsia="en-CA"/>
              </w:rPr>
              <w:t xml:space="preserve">èce </w:t>
            </w:r>
          </w:p>
        </w:tc>
        <w:tc>
          <w:tcPr>
            <w:tcW w:w="1540" w:type="dxa"/>
            <w:tcBorders>
              <w:top w:val="nil"/>
              <w:left w:val="nil"/>
              <w:bottom w:val="single" w:sz="4" w:space="0" w:color="auto"/>
              <w:right w:val="single" w:sz="4" w:space="0" w:color="auto"/>
            </w:tcBorders>
            <w:shd w:val="clear" w:color="auto" w:fill="auto"/>
            <w:vAlign w:val="center"/>
            <w:hideMark/>
          </w:tcPr>
          <w:p w14:paraId="43AE026D"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0.366 </w:t>
            </w:r>
          </w:p>
        </w:tc>
        <w:tc>
          <w:tcPr>
            <w:tcW w:w="1540" w:type="dxa"/>
            <w:tcBorders>
              <w:top w:val="nil"/>
              <w:left w:val="nil"/>
              <w:bottom w:val="single" w:sz="4" w:space="0" w:color="auto"/>
              <w:right w:val="single" w:sz="4" w:space="0" w:color="auto"/>
            </w:tcBorders>
            <w:shd w:val="clear" w:color="auto" w:fill="auto"/>
            <w:noWrap/>
            <w:vAlign w:val="center"/>
            <w:hideMark/>
          </w:tcPr>
          <w:p w14:paraId="059FEC23"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0.458 </w:t>
            </w:r>
          </w:p>
        </w:tc>
        <w:tc>
          <w:tcPr>
            <w:tcW w:w="1540" w:type="dxa"/>
            <w:tcBorders>
              <w:top w:val="nil"/>
              <w:left w:val="nil"/>
              <w:bottom w:val="single" w:sz="4" w:space="0" w:color="auto"/>
              <w:right w:val="single" w:sz="4" w:space="0" w:color="auto"/>
            </w:tcBorders>
            <w:shd w:val="clear" w:color="auto" w:fill="auto"/>
            <w:noWrap/>
            <w:vAlign w:val="center"/>
            <w:hideMark/>
          </w:tcPr>
          <w:p w14:paraId="6332BAB4"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52,177</w:t>
            </w:r>
          </w:p>
        </w:tc>
      </w:tr>
      <w:tr w:rsidR="00315701" w:rsidRPr="00C63A39" w14:paraId="4D929EB7"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EB79215" w14:textId="35E3CF85" w:rsidR="00315701" w:rsidRPr="00C63A39" w:rsidRDefault="00315701" w:rsidP="00315701">
            <w:pPr>
              <w:rPr>
                <w:color w:val="000000"/>
                <w:kern w:val="22"/>
                <w:szCs w:val="22"/>
                <w:lang w:val="fr-FR" w:eastAsia="en-CA"/>
              </w:rPr>
            </w:pPr>
            <w:r w:rsidRPr="00C63A39">
              <w:rPr>
                <w:color w:val="000000"/>
                <w:kern w:val="22"/>
                <w:szCs w:val="22"/>
                <w:lang w:val="fr-FR" w:eastAsia="en-CA"/>
              </w:rPr>
              <w:t>Grenad</w:t>
            </w:r>
            <w:r w:rsidR="009B3344" w:rsidRPr="00C63A39">
              <w:rPr>
                <w:color w:val="000000"/>
                <w:kern w:val="22"/>
                <w:szCs w:val="22"/>
                <w:lang w:val="fr-FR" w:eastAsia="en-CA"/>
              </w:rPr>
              <w:t>e</w:t>
            </w:r>
          </w:p>
        </w:tc>
        <w:tc>
          <w:tcPr>
            <w:tcW w:w="1540" w:type="dxa"/>
            <w:tcBorders>
              <w:top w:val="nil"/>
              <w:left w:val="nil"/>
              <w:bottom w:val="single" w:sz="4" w:space="0" w:color="auto"/>
              <w:right w:val="single" w:sz="4" w:space="0" w:color="auto"/>
            </w:tcBorders>
            <w:shd w:val="clear" w:color="auto" w:fill="auto"/>
            <w:vAlign w:val="center"/>
            <w:hideMark/>
          </w:tcPr>
          <w:p w14:paraId="636C3C6B"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4A56BA66"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7C39B99C"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143</w:t>
            </w:r>
          </w:p>
        </w:tc>
      </w:tr>
      <w:tr w:rsidR="00315701" w:rsidRPr="00C63A39" w14:paraId="7827C394"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CDFB4DD" w14:textId="77777777" w:rsidR="00315701" w:rsidRPr="00C63A39" w:rsidRDefault="00315701" w:rsidP="00315701">
            <w:pPr>
              <w:rPr>
                <w:color w:val="000000"/>
                <w:kern w:val="22"/>
                <w:szCs w:val="22"/>
                <w:lang w:val="fr-FR" w:eastAsia="en-CA"/>
              </w:rPr>
            </w:pPr>
            <w:r w:rsidRPr="00C63A39">
              <w:rPr>
                <w:color w:val="000000"/>
                <w:kern w:val="22"/>
                <w:szCs w:val="22"/>
                <w:lang w:val="fr-FR" w:eastAsia="en-CA"/>
              </w:rPr>
              <w:t>Guatemala</w:t>
            </w:r>
          </w:p>
        </w:tc>
        <w:tc>
          <w:tcPr>
            <w:tcW w:w="1540" w:type="dxa"/>
            <w:tcBorders>
              <w:top w:val="nil"/>
              <w:left w:val="nil"/>
              <w:bottom w:val="single" w:sz="4" w:space="0" w:color="auto"/>
              <w:right w:val="single" w:sz="4" w:space="0" w:color="auto"/>
            </w:tcBorders>
            <w:shd w:val="clear" w:color="auto" w:fill="auto"/>
            <w:vAlign w:val="center"/>
            <w:hideMark/>
          </w:tcPr>
          <w:p w14:paraId="7D2A48B7"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0.036 </w:t>
            </w:r>
          </w:p>
        </w:tc>
        <w:tc>
          <w:tcPr>
            <w:tcW w:w="1540" w:type="dxa"/>
            <w:tcBorders>
              <w:top w:val="nil"/>
              <w:left w:val="nil"/>
              <w:bottom w:val="single" w:sz="4" w:space="0" w:color="auto"/>
              <w:right w:val="single" w:sz="4" w:space="0" w:color="auto"/>
            </w:tcBorders>
            <w:shd w:val="clear" w:color="auto" w:fill="auto"/>
            <w:noWrap/>
            <w:vAlign w:val="center"/>
            <w:hideMark/>
          </w:tcPr>
          <w:p w14:paraId="5A348ACA"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0.045 </w:t>
            </w:r>
          </w:p>
        </w:tc>
        <w:tc>
          <w:tcPr>
            <w:tcW w:w="1540" w:type="dxa"/>
            <w:tcBorders>
              <w:top w:val="nil"/>
              <w:left w:val="nil"/>
              <w:bottom w:val="single" w:sz="4" w:space="0" w:color="auto"/>
              <w:right w:val="single" w:sz="4" w:space="0" w:color="auto"/>
            </w:tcBorders>
            <w:shd w:val="clear" w:color="auto" w:fill="auto"/>
            <w:noWrap/>
            <w:vAlign w:val="center"/>
            <w:hideMark/>
          </w:tcPr>
          <w:p w14:paraId="2CBD6065"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5,132</w:t>
            </w:r>
          </w:p>
        </w:tc>
      </w:tr>
      <w:tr w:rsidR="00315701" w:rsidRPr="00C63A39" w14:paraId="22EE4745"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886EA25" w14:textId="279105D9" w:rsidR="00315701" w:rsidRPr="00C63A39" w:rsidRDefault="00315701" w:rsidP="00315701">
            <w:pPr>
              <w:rPr>
                <w:color w:val="000000"/>
                <w:kern w:val="22"/>
                <w:szCs w:val="22"/>
                <w:lang w:val="fr-FR" w:eastAsia="en-CA"/>
              </w:rPr>
            </w:pPr>
            <w:r w:rsidRPr="00C63A39">
              <w:rPr>
                <w:color w:val="000000"/>
                <w:kern w:val="22"/>
                <w:szCs w:val="22"/>
                <w:lang w:val="fr-FR" w:eastAsia="en-CA"/>
              </w:rPr>
              <w:t>Guin</w:t>
            </w:r>
            <w:r w:rsidR="009B3344" w:rsidRPr="00C63A39">
              <w:rPr>
                <w:color w:val="000000"/>
                <w:kern w:val="22"/>
                <w:szCs w:val="22"/>
                <w:lang w:val="fr-FR" w:eastAsia="en-CA"/>
              </w:rPr>
              <w:t>ée</w:t>
            </w:r>
          </w:p>
        </w:tc>
        <w:tc>
          <w:tcPr>
            <w:tcW w:w="1540" w:type="dxa"/>
            <w:tcBorders>
              <w:top w:val="nil"/>
              <w:left w:val="nil"/>
              <w:bottom w:val="single" w:sz="4" w:space="0" w:color="auto"/>
              <w:right w:val="single" w:sz="4" w:space="0" w:color="auto"/>
            </w:tcBorders>
            <w:shd w:val="clear" w:color="auto" w:fill="auto"/>
            <w:vAlign w:val="center"/>
            <w:hideMark/>
          </w:tcPr>
          <w:p w14:paraId="5AD15E23"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2D15569B"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26A855BF"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428</w:t>
            </w:r>
          </w:p>
        </w:tc>
      </w:tr>
      <w:tr w:rsidR="00315701" w:rsidRPr="00C63A39" w14:paraId="3EA3F55F"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A30F577" w14:textId="37B7087A" w:rsidR="00315701" w:rsidRPr="00C63A39" w:rsidRDefault="00315701" w:rsidP="00315701">
            <w:pPr>
              <w:rPr>
                <w:color w:val="000000"/>
                <w:kern w:val="22"/>
                <w:szCs w:val="22"/>
                <w:lang w:val="fr-FR" w:eastAsia="en-CA"/>
              </w:rPr>
            </w:pPr>
            <w:r w:rsidRPr="00C63A39">
              <w:rPr>
                <w:color w:val="000000"/>
                <w:kern w:val="22"/>
                <w:szCs w:val="22"/>
                <w:lang w:val="fr-FR" w:eastAsia="en-CA"/>
              </w:rPr>
              <w:t>Guin</w:t>
            </w:r>
            <w:r w:rsidR="009B3344" w:rsidRPr="00C63A39">
              <w:rPr>
                <w:color w:val="000000"/>
                <w:kern w:val="22"/>
                <w:szCs w:val="22"/>
                <w:lang w:val="fr-FR" w:eastAsia="en-CA"/>
              </w:rPr>
              <w:t>ée</w:t>
            </w:r>
            <w:r w:rsidRPr="00C63A39">
              <w:rPr>
                <w:color w:val="000000"/>
                <w:kern w:val="22"/>
                <w:szCs w:val="22"/>
                <w:lang w:val="fr-FR" w:eastAsia="en-CA"/>
              </w:rPr>
              <w:t>-Bissau</w:t>
            </w:r>
          </w:p>
        </w:tc>
        <w:tc>
          <w:tcPr>
            <w:tcW w:w="1540" w:type="dxa"/>
            <w:tcBorders>
              <w:top w:val="nil"/>
              <w:left w:val="nil"/>
              <w:bottom w:val="single" w:sz="4" w:space="0" w:color="auto"/>
              <w:right w:val="single" w:sz="4" w:space="0" w:color="auto"/>
            </w:tcBorders>
            <w:shd w:val="clear" w:color="auto" w:fill="auto"/>
            <w:vAlign w:val="center"/>
            <w:hideMark/>
          </w:tcPr>
          <w:p w14:paraId="33459014"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0EB50B70"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528475B1"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143</w:t>
            </w:r>
          </w:p>
        </w:tc>
      </w:tr>
      <w:tr w:rsidR="00315701" w:rsidRPr="00C63A39" w14:paraId="3AC223D0"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30910D5" w14:textId="6BAB4CDC" w:rsidR="00315701" w:rsidRPr="00C63A39" w:rsidRDefault="00315701" w:rsidP="00315701">
            <w:pPr>
              <w:rPr>
                <w:color w:val="000000"/>
                <w:kern w:val="22"/>
                <w:szCs w:val="22"/>
                <w:lang w:val="fr-FR" w:eastAsia="en-CA"/>
              </w:rPr>
            </w:pPr>
            <w:r w:rsidRPr="00C63A39">
              <w:rPr>
                <w:color w:val="000000"/>
                <w:kern w:val="22"/>
                <w:szCs w:val="22"/>
                <w:lang w:val="fr-FR" w:eastAsia="en-CA"/>
              </w:rPr>
              <w:t>Guyan</w:t>
            </w:r>
            <w:r w:rsidR="009B3344" w:rsidRPr="00C63A39">
              <w:rPr>
                <w:color w:val="000000"/>
                <w:kern w:val="22"/>
                <w:szCs w:val="22"/>
                <w:lang w:val="fr-FR" w:eastAsia="en-CA"/>
              </w:rPr>
              <w:t>e</w:t>
            </w:r>
          </w:p>
        </w:tc>
        <w:tc>
          <w:tcPr>
            <w:tcW w:w="1540" w:type="dxa"/>
            <w:tcBorders>
              <w:top w:val="nil"/>
              <w:left w:val="nil"/>
              <w:bottom w:val="single" w:sz="4" w:space="0" w:color="auto"/>
              <w:right w:val="single" w:sz="4" w:space="0" w:color="auto"/>
            </w:tcBorders>
            <w:shd w:val="clear" w:color="auto" w:fill="auto"/>
            <w:vAlign w:val="center"/>
            <w:hideMark/>
          </w:tcPr>
          <w:p w14:paraId="7DD7949D"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526D580D"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47D7BEDE"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285</w:t>
            </w:r>
          </w:p>
        </w:tc>
      </w:tr>
      <w:tr w:rsidR="00315701" w:rsidRPr="00C63A39" w14:paraId="54412EB8"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4E4C23F" w14:textId="746AAE06" w:rsidR="00315701" w:rsidRPr="00C63A39" w:rsidRDefault="00315701" w:rsidP="00315701">
            <w:pPr>
              <w:rPr>
                <w:color w:val="000000"/>
                <w:kern w:val="22"/>
                <w:szCs w:val="22"/>
                <w:lang w:val="fr-FR" w:eastAsia="en-CA"/>
              </w:rPr>
            </w:pPr>
            <w:r w:rsidRPr="00C63A39">
              <w:rPr>
                <w:color w:val="000000"/>
                <w:kern w:val="22"/>
                <w:szCs w:val="22"/>
                <w:lang w:val="fr-FR" w:eastAsia="en-CA"/>
              </w:rPr>
              <w:t>Ha</w:t>
            </w:r>
            <w:r w:rsidR="009B3344" w:rsidRPr="00C63A39">
              <w:rPr>
                <w:color w:val="000000"/>
                <w:kern w:val="22"/>
                <w:szCs w:val="22"/>
                <w:lang w:val="fr-FR" w:eastAsia="en-CA"/>
              </w:rPr>
              <w:t>ïti</w:t>
            </w:r>
          </w:p>
        </w:tc>
        <w:tc>
          <w:tcPr>
            <w:tcW w:w="1540" w:type="dxa"/>
            <w:tcBorders>
              <w:top w:val="nil"/>
              <w:left w:val="nil"/>
              <w:bottom w:val="single" w:sz="4" w:space="0" w:color="auto"/>
              <w:right w:val="single" w:sz="4" w:space="0" w:color="auto"/>
            </w:tcBorders>
            <w:shd w:val="clear" w:color="auto" w:fill="auto"/>
            <w:vAlign w:val="center"/>
            <w:hideMark/>
          </w:tcPr>
          <w:p w14:paraId="16FCC301"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79D1C837"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7FFAD16D"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428</w:t>
            </w:r>
          </w:p>
        </w:tc>
      </w:tr>
      <w:tr w:rsidR="00315701" w:rsidRPr="00C63A39" w14:paraId="7ABE253B"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3AA26E0" w14:textId="77777777" w:rsidR="00315701" w:rsidRPr="00C63A39" w:rsidRDefault="00315701" w:rsidP="00315701">
            <w:pPr>
              <w:rPr>
                <w:color w:val="000000"/>
                <w:kern w:val="22"/>
                <w:szCs w:val="22"/>
                <w:lang w:val="fr-FR" w:eastAsia="en-CA"/>
              </w:rPr>
            </w:pPr>
            <w:r w:rsidRPr="00C63A39">
              <w:rPr>
                <w:color w:val="000000"/>
                <w:kern w:val="22"/>
                <w:szCs w:val="22"/>
                <w:lang w:val="fr-FR" w:eastAsia="en-CA"/>
              </w:rPr>
              <w:t>Honduras</w:t>
            </w:r>
          </w:p>
        </w:tc>
        <w:tc>
          <w:tcPr>
            <w:tcW w:w="1540" w:type="dxa"/>
            <w:tcBorders>
              <w:top w:val="nil"/>
              <w:left w:val="nil"/>
              <w:bottom w:val="single" w:sz="4" w:space="0" w:color="auto"/>
              <w:right w:val="single" w:sz="4" w:space="0" w:color="auto"/>
            </w:tcBorders>
            <w:shd w:val="clear" w:color="auto" w:fill="auto"/>
            <w:vAlign w:val="center"/>
            <w:hideMark/>
          </w:tcPr>
          <w:p w14:paraId="11A25E02"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14:paraId="1CFD2528"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0.011 </w:t>
            </w:r>
          </w:p>
        </w:tc>
        <w:tc>
          <w:tcPr>
            <w:tcW w:w="1540" w:type="dxa"/>
            <w:tcBorders>
              <w:top w:val="nil"/>
              <w:left w:val="nil"/>
              <w:bottom w:val="single" w:sz="4" w:space="0" w:color="auto"/>
              <w:right w:val="single" w:sz="4" w:space="0" w:color="auto"/>
            </w:tcBorders>
            <w:shd w:val="clear" w:color="auto" w:fill="auto"/>
            <w:noWrap/>
            <w:vAlign w:val="center"/>
            <w:hideMark/>
          </w:tcPr>
          <w:p w14:paraId="36872C60"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1,283</w:t>
            </w:r>
          </w:p>
        </w:tc>
      </w:tr>
      <w:tr w:rsidR="00315701" w:rsidRPr="00C63A39" w14:paraId="2181F10C"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BA737C6" w14:textId="4DAECABA" w:rsidR="00315701" w:rsidRPr="00C63A39" w:rsidRDefault="00315701" w:rsidP="00315701">
            <w:pPr>
              <w:rPr>
                <w:color w:val="000000"/>
                <w:kern w:val="22"/>
                <w:szCs w:val="22"/>
                <w:lang w:val="fr-FR" w:eastAsia="en-CA"/>
              </w:rPr>
            </w:pPr>
            <w:r w:rsidRPr="00C63A39">
              <w:rPr>
                <w:color w:val="000000"/>
                <w:kern w:val="22"/>
                <w:szCs w:val="22"/>
                <w:lang w:val="fr-FR" w:eastAsia="en-CA"/>
              </w:rPr>
              <w:t>H</w:t>
            </w:r>
            <w:r w:rsidR="009B3344" w:rsidRPr="00C63A39">
              <w:rPr>
                <w:color w:val="000000"/>
                <w:kern w:val="22"/>
                <w:szCs w:val="22"/>
                <w:lang w:val="fr-FR" w:eastAsia="en-CA"/>
              </w:rPr>
              <w:t>ongrie</w:t>
            </w:r>
          </w:p>
        </w:tc>
        <w:tc>
          <w:tcPr>
            <w:tcW w:w="1540" w:type="dxa"/>
            <w:tcBorders>
              <w:top w:val="nil"/>
              <w:left w:val="nil"/>
              <w:bottom w:val="single" w:sz="4" w:space="0" w:color="auto"/>
              <w:right w:val="single" w:sz="4" w:space="0" w:color="auto"/>
            </w:tcBorders>
            <w:shd w:val="clear" w:color="auto" w:fill="auto"/>
            <w:vAlign w:val="center"/>
            <w:hideMark/>
          </w:tcPr>
          <w:p w14:paraId="0913A423"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0.206 </w:t>
            </w:r>
          </w:p>
        </w:tc>
        <w:tc>
          <w:tcPr>
            <w:tcW w:w="1540" w:type="dxa"/>
            <w:tcBorders>
              <w:top w:val="nil"/>
              <w:left w:val="nil"/>
              <w:bottom w:val="single" w:sz="4" w:space="0" w:color="auto"/>
              <w:right w:val="single" w:sz="4" w:space="0" w:color="auto"/>
            </w:tcBorders>
            <w:shd w:val="clear" w:color="auto" w:fill="auto"/>
            <w:noWrap/>
            <w:vAlign w:val="center"/>
            <w:hideMark/>
          </w:tcPr>
          <w:p w14:paraId="518C9A45"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0.258 </w:t>
            </w:r>
          </w:p>
        </w:tc>
        <w:tc>
          <w:tcPr>
            <w:tcW w:w="1540" w:type="dxa"/>
            <w:tcBorders>
              <w:top w:val="nil"/>
              <w:left w:val="nil"/>
              <w:bottom w:val="single" w:sz="4" w:space="0" w:color="auto"/>
              <w:right w:val="single" w:sz="4" w:space="0" w:color="auto"/>
            </w:tcBorders>
            <w:shd w:val="clear" w:color="auto" w:fill="auto"/>
            <w:noWrap/>
            <w:vAlign w:val="center"/>
            <w:hideMark/>
          </w:tcPr>
          <w:p w14:paraId="1A0734D1"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29,367</w:t>
            </w:r>
          </w:p>
        </w:tc>
      </w:tr>
      <w:tr w:rsidR="00315701" w:rsidRPr="00C63A39" w14:paraId="6DC955D1"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10918E7" w14:textId="14FA55F2" w:rsidR="00315701" w:rsidRPr="00C63A39" w:rsidRDefault="00315701" w:rsidP="00315701">
            <w:pPr>
              <w:rPr>
                <w:color w:val="000000"/>
                <w:kern w:val="22"/>
                <w:szCs w:val="22"/>
                <w:lang w:val="fr-FR" w:eastAsia="en-CA"/>
              </w:rPr>
            </w:pPr>
            <w:r w:rsidRPr="00C63A39">
              <w:rPr>
                <w:color w:val="000000"/>
                <w:kern w:val="22"/>
                <w:szCs w:val="22"/>
                <w:lang w:val="fr-FR" w:eastAsia="en-CA"/>
              </w:rPr>
              <w:t>I</w:t>
            </w:r>
            <w:r w:rsidR="009B3344" w:rsidRPr="00C63A39">
              <w:rPr>
                <w:color w:val="000000"/>
                <w:kern w:val="22"/>
                <w:szCs w:val="22"/>
                <w:lang w:val="fr-FR" w:eastAsia="en-CA"/>
              </w:rPr>
              <w:t>slande</w:t>
            </w:r>
          </w:p>
        </w:tc>
        <w:tc>
          <w:tcPr>
            <w:tcW w:w="1540" w:type="dxa"/>
            <w:tcBorders>
              <w:top w:val="nil"/>
              <w:left w:val="nil"/>
              <w:bottom w:val="single" w:sz="4" w:space="0" w:color="auto"/>
              <w:right w:val="single" w:sz="4" w:space="0" w:color="auto"/>
            </w:tcBorders>
            <w:shd w:val="clear" w:color="auto" w:fill="auto"/>
            <w:vAlign w:val="center"/>
            <w:hideMark/>
          </w:tcPr>
          <w:p w14:paraId="250D0A98"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0.028 </w:t>
            </w:r>
          </w:p>
        </w:tc>
        <w:tc>
          <w:tcPr>
            <w:tcW w:w="1540" w:type="dxa"/>
            <w:tcBorders>
              <w:top w:val="nil"/>
              <w:left w:val="nil"/>
              <w:bottom w:val="single" w:sz="4" w:space="0" w:color="auto"/>
              <w:right w:val="single" w:sz="4" w:space="0" w:color="auto"/>
            </w:tcBorders>
            <w:shd w:val="clear" w:color="auto" w:fill="auto"/>
            <w:noWrap/>
            <w:vAlign w:val="center"/>
            <w:hideMark/>
          </w:tcPr>
          <w:p w14:paraId="005C374C"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0.035 </w:t>
            </w:r>
          </w:p>
        </w:tc>
        <w:tc>
          <w:tcPr>
            <w:tcW w:w="1540" w:type="dxa"/>
            <w:tcBorders>
              <w:top w:val="nil"/>
              <w:left w:val="nil"/>
              <w:bottom w:val="single" w:sz="4" w:space="0" w:color="auto"/>
              <w:right w:val="single" w:sz="4" w:space="0" w:color="auto"/>
            </w:tcBorders>
            <w:shd w:val="clear" w:color="auto" w:fill="auto"/>
            <w:noWrap/>
            <w:vAlign w:val="center"/>
            <w:hideMark/>
          </w:tcPr>
          <w:p w14:paraId="6CC21C6C"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3,992</w:t>
            </w:r>
          </w:p>
        </w:tc>
      </w:tr>
      <w:tr w:rsidR="00315701" w:rsidRPr="00C63A39" w14:paraId="3C0418C2"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FEE2172" w14:textId="75BF155E" w:rsidR="00315701" w:rsidRPr="00C63A39" w:rsidRDefault="00315701" w:rsidP="00315701">
            <w:pPr>
              <w:rPr>
                <w:color w:val="000000"/>
                <w:kern w:val="22"/>
                <w:szCs w:val="22"/>
                <w:lang w:val="fr-FR" w:eastAsia="en-CA"/>
              </w:rPr>
            </w:pPr>
            <w:r w:rsidRPr="00C63A39">
              <w:rPr>
                <w:color w:val="000000"/>
                <w:kern w:val="22"/>
                <w:szCs w:val="22"/>
                <w:lang w:val="fr-FR" w:eastAsia="en-CA"/>
              </w:rPr>
              <w:t>Ind</w:t>
            </w:r>
            <w:r w:rsidR="009B3344" w:rsidRPr="00C63A39">
              <w:rPr>
                <w:color w:val="000000"/>
                <w:kern w:val="22"/>
                <w:szCs w:val="22"/>
                <w:lang w:val="fr-FR" w:eastAsia="en-CA"/>
              </w:rPr>
              <w:t>e</w:t>
            </w:r>
          </w:p>
        </w:tc>
        <w:tc>
          <w:tcPr>
            <w:tcW w:w="1540" w:type="dxa"/>
            <w:tcBorders>
              <w:top w:val="nil"/>
              <w:left w:val="nil"/>
              <w:bottom w:val="single" w:sz="4" w:space="0" w:color="auto"/>
              <w:right w:val="single" w:sz="4" w:space="0" w:color="auto"/>
            </w:tcBorders>
            <w:shd w:val="clear" w:color="auto" w:fill="auto"/>
            <w:vAlign w:val="center"/>
            <w:hideMark/>
          </w:tcPr>
          <w:p w14:paraId="4D85E941"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0.834 </w:t>
            </w:r>
          </w:p>
        </w:tc>
        <w:tc>
          <w:tcPr>
            <w:tcW w:w="1540" w:type="dxa"/>
            <w:tcBorders>
              <w:top w:val="nil"/>
              <w:left w:val="nil"/>
              <w:bottom w:val="single" w:sz="4" w:space="0" w:color="auto"/>
              <w:right w:val="single" w:sz="4" w:space="0" w:color="auto"/>
            </w:tcBorders>
            <w:shd w:val="clear" w:color="auto" w:fill="auto"/>
            <w:noWrap/>
            <w:vAlign w:val="center"/>
            <w:hideMark/>
          </w:tcPr>
          <w:p w14:paraId="25525076"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1.043 </w:t>
            </w:r>
          </w:p>
        </w:tc>
        <w:tc>
          <w:tcPr>
            <w:tcW w:w="1540" w:type="dxa"/>
            <w:tcBorders>
              <w:top w:val="nil"/>
              <w:left w:val="nil"/>
              <w:bottom w:val="single" w:sz="4" w:space="0" w:color="auto"/>
              <w:right w:val="single" w:sz="4" w:space="0" w:color="auto"/>
            </w:tcBorders>
            <w:shd w:val="clear" w:color="auto" w:fill="auto"/>
            <w:noWrap/>
            <w:vAlign w:val="center"/>
            <w:hideMark/>
          </w:tcPr>
          <w:p w14:paraId="61E57D48"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118,895</w:t>
            </w:r>
          </w:p>
        </w:tc>
      </w:tr>
      <w:tr w:rsidR="00315701" w:rsidRPr="00C63A39" w14:paraId="61B04963"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436B002" w14:textId="3FD6A6C3" w:rsidR="00315701" w:rsidRPr="00C63A39" w:rsidRDefault="00315701" w:rsidP="00315701">
            <w:pPr>
              <w:rPr>
                <w:color w:val="000000"/>
                <w:kern w:val="22"/>
                <w:szCs w:val="22"/>
                <w:lang w:val="fr-FR" w:eastAsia="en-CA"/>
              </w:rPr>
            </w:pPr>
            <w:r w:rsidRPr="00C63A39">
              <w:rPr>
                <w:color w:val="000000"/>
                <w:kern w:val="22"/>
                <w:szCs w:val="22"/>
                <w:lang w:val="fr-FR" w:eastAsia="en-CA"/>
              </w:rPr>
              <w:t>Indon</w:t>
            </w:r>
            <w:r w:rsidR="009B3344" w:rsidRPr="00C63A39">
              <w:rPr>
                <w:color w:val="000000"/>
                <w:kern w:val="22"/>
                <w:szCs w:val="22"/>
                <w:lang w:val="fr-FR" w:eastAsia="en-CA"/>
              </w:rPr>
              <w:t>ésie</w:t>
            </w:r>
          </w:p>
        </w:tc>
        <w:tc>
          <w:tcPr>
            <w:tcW w:w="1540" w:type="dxa"/>
            <w:tcBorders>
              <w:top w:val="nil"/>
              <w:left w:val="nil"/>
              <w:bottom w:val="single" w:sz="4" w:space="0" w:color="auto"/>
              <w:right w:val="single" w:sz="4" w:space="0" w:color="auto"/>
            </w:tcBorders>
            <w:shd w:val="clear" w:color="auto" w:fill="auto"/>
            <w:vAlign w:val="center"/>
            <w:hideMark/>
          </w:tcPr>
          <w:p w14:paraId="410AF4EC"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0.543 </w:t>
            </w:r>
          </w:p>
        </w:tc>
        <w:tc>
          <w:tcPr>
            <w:tcW w:w="1540" w:type="dxa"/>
            <w:tcBorders>
              <w:top w:val="nil"/>
              <w:left w:val="nil"/>
              <w:bottom w:val="single" w:sz="4" w:space="0" w:color="auto"/>
              <w:right w:val="single" w:sz="4" w:space="0" w:color="auto"/>
            </w:tcBorders>
            <w:shd w:val="clear" w:color="auto" w:fill="auto"/>
            <w:noWrap/>
            <w:vAlign w:val="center"/>
            <w:hideMark/>
          </w:tcPr>
          <w:p w14:paraId="5C62E46A"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0.679 </w:t>
            </w:r>
          </w:p>
        </w:tc>
        <w:tc>
          <w:tcPr>
            <w:tcW w:w="1540" w:type="dxa"/>
            <w:tcBorders>
              <w:top w:val="nil"/>
              <w:left w:val="nil"/>
              <w:bottom w:val="single" w:sz="4" w:space="0" w:color="auto"/>
              <w:right w:val="single" w:sz="4" w:space="0" w:color="auto"/>
            </w:tcBorders>
            <w:shd w:val="clear" w:color="auto" w:fill="auto"/>
            <w:noWrap/>
            <w:vAlign w:val="center"/>
            <w:hideMark/>
          </w:tcPr>
          <w:p w14:paraId="58E198D0"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77,410</w:t>
            </w:r>
          </w:p>
        </w:tc>
      </w:tr>
      <w:tr w:rsidR="00315701" w:rsidRPr="00C63A39" w14:paraId="5D884277"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2FC5566" w14:textId="2EC7DFA7" w:rsidR="00315701" w:rsidRPr="00C63A39" w:rsidRDefault="00315701" w:rsidP="00315701">
            <w:pPr>
              <w:rPr>
                <w:color w:val="000000"/>
                <w:kern w:val="22"/>
                <w:szCs w:val="22"/>
                <w:lang w:val="fr-FR" w:eastAsia="en-CA"/>
              </w:rPr>
            </w:pPr>
            <w:r w:rsidRPr="00C63A39">
              <w:rPr>
                <w:color w:val="000000"/>
                <w:kern w:val="22"/>
                <w:szCs w:val="22"/>
                <w:lang w:val="fr-FR" w:eastAsia="en-CA"/>
              </w:rPr>
              <w:t>Iran (</w:t>
            </w:r>
            <w:r w:rsidR="009B3344" w:rsidRPr="00C63A39">
              <w:rPr>
                <w:color w:val="000000"/>
                <w:kern w:val="22"/>
                <w:szCs w:val="22"/>
                <w:lang w:val="fr-FR" w:eastAsia="en-CA"/>
              </w:rPr>
              <w:t xml:space="preserve">République Islamique de </w:t>
            </w:r>
          </w:p>
        </w:tc>
        <w:tc>
          <w:tcPr>
            <w:tcW w:w="1540" w:type="dxa"/>
            <w:tcBorders>
              <w:top w:val="nil"/>
              <w:left w:val="nil"/>
              <w:bottom w:val="single" w:sz="4" w:space="0" w:color="auto"/>
              <w:right w:val="single" w:sz="4" w:space="0" w:color="auto"/>
            </w:tcBorders>
            <w:shd w:val="clear" w:color="auto" w:fill="auto"/>
            <w:vAlign w:val="center"/>
            <w:hideMark/>
          </w:tcPr>
          <w:p w14:paraId="6564FC40"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0.398 </w:t>
            </w:r>
          </w:p>
        </w:tc>
        <w:tc>
          <w:tcPr>
            <w:tcW w:w="1540" w:type="dxa"/>
            <w:tcBorders>
              <w:top w:val="nil"/>
              <w:left w:val="nil"/>
              <w:bottom w:val="single" w:sz="4" w:space="0" w:color="auto"/>
              <w:right w:val="single" w:sz="4" w:space="0" w:color="auto"/>
            </w:tcBorders>
            <w:shd w:val="clear" w:color="auto" w:fill="auto"/>
            <w:noWrap/>
            <w:vAlign w:val="center"/>
            <w:hideMark/>
          </w:tcPr>
          <w:p w14:paraId="6E2E070D"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0.498 </w:t>
            </w:r>
          </w:p>
        </w:tc>
        <w:tc>
          <w:tcPr>
            <w:tcW w:w="1540" w:type="dxa"/>
            <w:tcBorders>
              <w:top w:val="nil"/>
              <w:left w:val="nil"/>
              <w:bottom w:val="single" w:sz="4" w:space="0" w:color="auto"/>
              <w:right w:val="single" w:sz="4" w:space="0" w:color="auto"/>
            </w:tcBorders>
            <w:shd w:val="clear" w:color="auto" w:fill="auto"/>
            <w:noWrap/>
            <w:vAlign w:val="center"/>
            <w:hideMark/>
          </w:tcPr>
          <w:p w14:paraId="76D17BD3"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56,739</w:t>
            </w:r>
          </w:p>
        </w:tc>
      </w:tr>
      <w:tr w:rsidR="00315701" w:rsidRPr="00C63A39" w14:paraId="1D7BFA58"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F6AAFF6" w14:textId="413B34D7" w:rsidR="00315701" w:rsidRPr="00C63A39" w:rsidRDefault="00315701" w:rsidP="00315701">
            <w:pPr>
              <w:rPr>
                <w:color w:val="000000"/>
                <w:kern w:val="22"/>
                <w:szCs w:val="22"/>
                <w:lang w:val="fr-FR" w:eastAsia="en-CA"/>
              </w:rPr>
            </w:pPr>
            <w:r w:rsidRPr="00C63A39">
              <w:rPr>
                <w:color w:val="000000"/>
                <w:kern w:val="22"/>
                <w:szCs w:val="22"/>
                <w:lang w:val="fr-FR" w:eastAsia="en-CA"/>
              </w:rPr>
              <w:t>Ira</w:t>
            </w:r>
            <w:r w:rsidR="009B3344" w:rsidRPr="00C63A39">
              <w:rPr>
                <w:color w:val="000000"/>
                <w:kern w:val="22"/>
                <w:szCs w:val="22"/>
                <w:lang w:val="fr-FR" w:eastAsia="en-CA"/>
              </w:rPr>
              <w:t>k</w:t>
            </w:r>
          </w:p>
        </w:tc>
        <w:tc>
          <w:tcPr>
            <w:tcW w:w="1540" w:type="dxa"/>
            <w:tcBorders>
              <w:top w:val="nil"/>
              <w:left w:val="nil"/>
              <w:bottom w:val="single" w:sz="4" w:space="0" w:color="auto"/>
              <w:right w:val="single" w:sz="4" w:space="0" w:color="auto"/>
            </w:tcBorders>
            <w:shd w:val="clear" w:color="auto" w:fill="auto"/>
            <w:vAlign w:val="center"/>
            <w:hideMark/>
          </w:tcPr>
          <w:p w14:paraId="4AED5D50"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0.129 </w:t>
            </w:r>
          </w:p>
        </w:tc>
        <w:tc>
          <w:tcPr>
            <w:tcW w:w="1540" w:type="dxa"/>
            <w:tcBorders>
              <w:top w:val="nil"/>
              <w:left w:val="nil"/>
              <w:bottom w:val="single" w:sz="4" w:space="0" w:color="auto"/>
              <w:right w:val="single" w:sz="4" w:space="0" w:color="auto"/>
            </w:tcBorders>
            <w:shd w:val="clear" w:color="auto" w:fill="auto"/>
            <w:noWrap/>
            <w:vAlign w:val="center"/>
            <w:hideMark/>
          </w:tcPr>
          <w:p w14:paraId="0F21A3F3"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0.161 </w:t>
            </w:r>
          </w:p>
        </w:tc>
        <w:tc>
          <w:tcPr>
            <w:tcW w:w="1540" w:type="dxa"/>
            <w:tcBorders>
              <w:top w:val="nil"/>
              <w:left w:val="nil"/>
              <w:bottom w:val="single" w:sz="4" w:space="0" w:color="auto"/>
              <w:right w:val="single" w:sz="4" w:space="0" w:color="auto"/>
            </w:tcBorders>
            <w:shd w:val="clear" w:color="auto" w:fill="auto"/>
            <w:noWrap/>
            <w:vAlign w:val="center"/>
            <w:hideMark/>
          </w:tcPr>
          <w:p w14:paraId="189B6B9C"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18,390</w:t>
            </w:r>
          </w:p>
        </w:tc>
      </w:tr>
      <w:tr w:rsidR="00315701" w:rsidRPr="00C63A39" w14:paraId="3FD919B4"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83FBE10" w14:textId="7DEFDE93" w:rsidR="00315701" w:rsidRPr="00C63A39" w:rsidRDefault="00315701" w:rsidP="00315701">
            <w:pPr>
              <w:rPr>
                <w:color w:val="000000"/>
                <w:kern w:val="22"/>
                <w:szCs w:val="22"/>
                <w:lang w:val="fr-FR" w:eastAsia="en-CA"/>
              </w:rPr>
            </w:pPr>
            <w:r w:rsidRPr="00C63A39">
              <w:rPr>
                <w:color w:val="000000"/>
                <w:kern w:val="22"/>
                <w:szCs w:val="22"/>
                <w:lang w:val="fr-FR" w:eastAsia="en-CA"/>
              </w:rPr>
              <w:t>Ir</w:t>
            </w:r>
            <w:r w:rsidR="009B3344" w:rsidRPr="00C63A39">
              <w:rPr>
                <w:color w:val="000000"/>
                <w:kern w:val="22"/>
                <w:szCs w:val="22"/>
                <w:lang w:val="fr-FR" w:eastAsia="en-CA"/>
              </w:rPr>
              <w:t>lande</w:t>
            </w:r>
          </w:p>
        </w:tc>
        <w:tc>
          <w:tcPr>
            <w:tcW w:w="1540" w:type="dxa"/>
            <w:tcBorders>
              <w:top w:val="nil"/>
              <w:left w:val="nil"/>
              <w:bottom w:val="single" w:sz="4" w:space="0" w:color="auto"/>
              <w:right w:val="single" w:sz="4" w:space="0" w:color="auto"/>
            </w:tcBorders>
            <w:shd w:val="clear" w:color="auto" w:fill="auto"/>
            <w:vAlign w:val="center"/>
            <w:hideMark/>
          </w:tcPr>
          <w:p w14:paraId="006B3938"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0.371 </w:t>
            </w:r>
          </w:p>
        </w:tc>
        <w:tc>
          <w:tcPr>
            <w:tcW w:w="1540" w:type="dxa"/>
            <w:tcBorders>
              <w:top w:val="nil"/>
              <w:left w:val="nil"/>
              <w:bottom w:val="single" w:sz="4" w:space="0" w:color="auto"/>
              <w:right w:val="single" w:sz="4" w:space="0" w:color="auto"/>
            </w:tcBorders>
            <w:shd w:val="clear" w:color="auto" w:fill="auto"/>
            <w:noWrap/>
            <w:vAlign w:val="center"/>
            <w:hideMark/>
          </w:tcPr>
          <w:p w14:paraId="2C7EBECF"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0.464 </w:t>
            </w:r>
          </w:p>
        </w:tc>
        <w:tc>
          <w:tcPr>
            <w:tcW w:w="1540" w:type="dxa"/>
            <w:tcBorders>
              <w:top w:val="nil"/>
              <w:left w:val="nil"/>
              <w:bottom w:val="single" w:sz="4" w:space="0" w:color="auto"/>
              <w:right w:val="single" w:sz="4" w:space="0" w:color="auto"/>
            </w:tcBorders>
            <w:shd w:val="clear" w:color="auto" w:fill="auto"/>
            <w:noWrap/>
            <w:vAlign w:val="center"/>
            <w:hideMark/>
          </w:tcPr>
          <w:p w14:paraId="156ADE26"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52,890</w:t>
            </w:r>
          </w:p>
        </w:tc>
      </w:tr>
    </w:tbl>
    <w:p w14:paraId="6ECFEF36" w14:textId="03129E20" w:rsidR="00315701" w:rsidRPr="00C63A39" w:rsidRDefault="00315701" w:rsidP="0079737F">
      <w:pPr>
        <w:autoSpaceDE w:val="0"/>
        <w:autoSpaceDN w:val="0"/>
        <w:adjustRightInd w:val="0"/>
        <w:rPr>
          <w:rFonts w:eastAsiaTheme="minorEastAsia"/>
          <w:bCs/>
          <w:kern w:val="22"/>
          <w:szCs w:val="22"/>
        </w:rPr>
      </w:pPr>
    </w:p>
    <w:p w14:paraId="7C48F595" w14:textId="77777777" w:rsidR="00315701" w:rsidRPr="00C63A39" w:rsidRDefault="00315701">
      <w:pPr>
        <w:spacing w:after="160" w:line="259" w:lineRule="auto"/>
        <w:rPr>
          <w:rFonts w:eastAsiaTheme="minorEastAsia"/>
          <w:bCs/>
          <w:kern w:val="22"/>
          <w:szCs w:val="22"/>
        </w:rPr>
      </w:pPr>
      <w:r w:rsidRPr="00C63A39">
        <w:rPr>
          <w:rFonts w:eastAsiaTheme="minorEastAsia"/>
          <w:bCs/>
          <w:kern w:val="22"/>
          <w:szCs w:val="22"/>
        </w:rPr>
        <w:br w:type="page"/>
      </w:r>
    </w:p>
    <w:tbl>
      <w:tblPr>
        <w:tblW w:w="9420" w:type="dxa"/>
        <w:tblLook w:val="04A0" w:firstRow="1" w:lastRow="0" w:firstColumn="1" w:lastColumn="0" w:noHBand="0" w:noVBand="1"/>
      </w:tblPr>
      <w:tblGrid>
        <w:gridCol w:w="4800"/>
        <w:gridCol w:w="1540"/>
        <w:gridCol w:w="1540"/>
        <w:gridCol w:w="1540"/>
      </w:tblGrid>
      <w:tr w:rsidR="005F7E95" w:rsidRPr="00C63A39" w14:paraId="75B3C5EF" w14:textId="77777777" w:rsidTr="00315701">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B8BD60" w14:textId="22063922" w:rsidR="005F7E95" w:rsidRPr="00C63A39" w:rsidRDefault="005F7E95" w:rsidP="005F7E95">
            <w:pPr>
              <w:jc w:val="center"/>
              <w:rPr>
                <w:b/>
                <w:bCs/>
                <w:kern w:val="22"/>
                <w:szCs w:val="22"/>
                <w:lang w:eastAsia="en-CA"/>
              </w:rPr>
            </w:pPr>
            <w:r w:rsidRPr="00C63A39">
              <w:rPr>
                <w:b/>
                <w:bCs/>
                <w:kern w:val="22"/>
                <w:szCs w:val="22"/>
                <w:lang w:val="fr-FR" w:eastAsia="en-CA"/>
              </w:rPr>
              <w:lastRenderedPageBreak/>
              <w:t>Partie</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10460D94" w14:textId="6ED087BD" w:rsidR="005F7E95" w:rsidRPr="00C63A39" w:rsidRDefault="005F7E95" w:rsidP="005F7E95">
            <w:pPr>
              <w:jc w:val="center"/>
              <w:rPr>
                <w:b/>
                <w:bCs/>
                <w:color w:val="000000"/>
                <w:kern w:val="22"/>
                <w:szCs w:val="22"/>
                <w:lang w:eastAsia="en-CA"/>
              </w:rPr>
            </w:pPr>
            <w:r w:rsidRPr="00C63A39">
              <w:rPr>
                <w:b/>
                <w:bCs/>
                <w:color w:val="000000"/>
                <w:kern w:val="22"/>
                <w:szCs w:val="22"/>
                <w:lang w:val="fr-FR" w:eastAsia="en-CA"/>
              </w:rPr>
              <w:t xml:space="preserve">Barème des quotes-parts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6A83AA6C" w14:textId="49B91958" w:rsidR="005F7E95" w:rsidRPr="006E23F0" w:rsidRDefault="005F7E95" w:rsidP="005F7E95">
            <w:pPr>
              <w:jc w:val="center"/>
              <w:rPr>
                <w:b/>
                <w:bCs/>
                <w:color w:val="000000"/>
                <w:kern w:val="22"/>
                <w:szCs w:val="22"/>
                <w:lang w:val="fr-CA" w:eastAsia="en-CA"/>
              </w:rPr>
            </w:pPr>
            <w:r w:rsidRPr="00C63A39">
              <w:rPr>
                <w:b/>
                <w:bCs/>
                <w:color w:val="000000"/>
                <w:kern w:val="22"/>
                <w:szCs w:val="22"/>
                <w:lang w:val="fr-FR" w:eastAsia="en-CA"/>
              </w:rPr>
              <w:t>Barème assorti d’un plafond de 22% ; aucun PMA ne paie plus de 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582DF242" w14:textId="65400A0B" w:rsidR="005F7E95" w:rsidRPr="00C63A39" w:rsidRDefault="005F7E95" w:rsidP="005F7E95">
            <w:pPr>
              <w:jc w:val="center"/>
              <w:rPr>
                <w:b/>
                <w:bCs/>
                <w:color w:val="000000"/>
                <w:kern w:val="22"/>
                <w:szCs w:val="22"/>
                <w:lang w:eastAsia="en-CA"/>
              </w:rPr>
            </w:pPr>
            <w:r w:rsidRPr="00C63A39">
              <w:rPr>
                <w:b/>
                <w:bCs/>
                <w:color w:val="000000"/>
                <w:kern w:val="22"/>
                <w:szCs w:val="22"/>
                <w:lang w:val="fr-FR" w:eastAsia="en-CA"/>
              </w:rPr>
              <w:t>Contributions au 1er janvier 2020</w:t>
            </w:r>
          </w:p>
        </w:tc>
      </w:tr>
      <w:tr w:rsidR="00315701" w:rsidRPr="00C63A39" w14:paraId="158EDDE3"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CBD5A9D" w14:textId="6728A93F" w:rsidR="00315701" w:rsidRPr="00C63A39" w:rsidRDefault="002E4E90" w:rsidP="00315701">
            <w:pPr>
              <w:rPr>
                <w:color w:val="000000"/>
                <w:kern w:val="22"/>
                <w:szCs w:val="22"/>
                <w:lang w:val="fr-FR" w:eastAsia="en-CA"/>
              </w:rPr>
            </w:pPr>
            <w:r w:rsidRPr="00C63A39">
              <w:rPr>
                <w:color w:val="000000"/>
                <w:kern w:val="22"/>
                <w:szCs w:val="22"/>
                <w:lang w:val="fr-FR" w:eastAsia="en-CA"/>
              </w:rPr>
              <w:t>Israël</w:t>
            </w:r>
          </w:p>
        </w:tc>
        <w:tc>
          <w:tcPr>
            <w:tcW w:w="1540" w:type="dxa"/>
            <w:tcBorders>
              <w:top w:val="nil"/>
              <w:left w:val="nil"/>
              <w:bottom w:val="single" w:sz="4" w:space="0" w:color="auto"/>
              <w:right w:val="single" w:sz="4" w:space="0" w:color="auto"/>
            </w:tcBorders>
            <w:shd w:val="clear" w:color="auto" w:fill="auto"/>
            <w:vAlign w:val="center"/>
            <w:hideMark/>
          </w:tcPr>
          <w:p w14:paraId="5749E504"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0.490 </w:t>
            </w:r>
          </w:p>
        </w:tc>
        <w:tc>
          <w:tcPr>
            <w:tcW w:w="1540" w:type="dxa"/>
            <w:tcBorders>
              <w:top w:val="nil"/>
              <w:left w:val="nil"/>
              <w:bottom w:val="single" w:sz="4" w:space="0" w:color="auto"/>
              <w:right w:val="single" w:sz="4" w:space="0" w:color="auto"/>
            </w:tcBorders>
            <w:shd w:val="clear" w:color="auto" w:fill="auto"/>
            <w:noWrap/>
            <w:vAlign w:val="center"/>
            <w:hideMark/>
          </w:tcPr>
          <w:p w14:paraId="48E3BC32"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0.613 </w:t>
            </w:r>
          </w:p>
        </w:tc>
        <w:tc>
          <w:tcPr>
            <w:tcW w:w="1540" w:type="dxa"/>
            <w:tcBorders>
              <w:top w:val="nil"/>
              <w:left w:val="nil"/>
              <w:bottom w:val="single" w:sz="4" w:space="0" w:color="auto"/>
              <w:right w:val="single" w:sz="4" w:space="0" w:color="auto"/>
            </w:tcBorders>
            <w:shd w:val="clear" w:color="auto" w:fill="auto"/>
            <w:noWrap/>
            <w:vAlign w:val="center"/>
            <w:hideMark/>
          </w:tcPr>
          <w:p w14:paraId="63B799A9"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69,854</w:t>
            </w:r>
          </w:p>
        </w:tc>
      </w:tr>
      <w:tr w:rsidR="00315701" w:rsidRPr="00C63A39" w14:paraId="45584707"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4E2F9C0" w14:textId="3BEF4417" w:rsidR="00315701" w:rsidRPr="00C63A39" w:rsidRDefault="00315701" w:rsidP="00315701">
            <w:pPr>
              <w:rPr>
                <w:color w:val="000000"/>
                <w:kern w:val="22"/>
                <w:szCs w:val="22"/>
                <w:lang w:val="fr-FR" w:eastAsia="en-CA"/>
              </w:rPr>
            </w:pPr>
            <w:r w:rsidRPr="00C63A39">
              <w:rPr>
                <w:color w:val="000000"/>
                <w:kern w:val="22"/>
                <w:szCs w:val="22"/>
                <w:lang w:val="fr-FR" w:eastAsia="en-CA"/>
              </w:rPr>
              <w:t>Ital</w:t>
            </w:r>
            <w:r w:rsidR="002E4E90" w:rsidRPr="00C63A39">
              <w:rPr>
                <w:color w:val="000000"/>
                <w:kern w:val="22"/>
                <w:szCs w:val="22"/>
                <w:lang w:val="fr-FR" w:eastAsia="en-CA"/>
              </w:rPr>
              <w:t>ie</w:t>
            </w:r>
          </w:p>
        </w:tc>
        <w:tc>
          <w:tcPr>
            <w:tcW w:w="1540" w:type="dxa"/>
            <w:tcBorders>
              <w:top w:val="nil"/>
              <w:left w:val="nil"/>
              <w:bottom w:val="single" w:sz="4" w:space="0" w:color="auto"/>
              <w:right w:val="single" w:sz="4" w:space="0" w:color="auto"/>
            </w:tcBorders>
            <w:shd w:val="clear" w:color="auto" w:fill="auto"/>
            <w:vAlign w:val="center"/>
            <w:hideMark/>
          </w:tcPr>
          <w:p w14:paraId="3293FBA4"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3.307 </w:t>
            </w:r>
          </w:p>
        </w:tc>
        <w:tc>
          <w:tcPr>
            <w:tcW w:w="1540" w:type="dxa"/>
            <w:tcBorders>
              <w:top w:val="nil"/>
              <w:left w:val="nil"/>
              <w:bottom w:val="single" w:sz="4" w:space="0" w:color="auto"/>
              <w:right w:val="single" w:sz="4" w:space="0" w:color="auto"/>
            </w:tcBorders>
            <w:shd w:val="clear" w:color="auto" w:fill="auto"/>
            <w:noWrap/>
            <w:vAlign w:val="center"/>
            <w:hideMark/>
          </w:tcPr>
          <w:p w14:paraId="72298197"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4.134 </w:t>
            </w:r>
          </w:p>
        </w:tc>
        <w:tc>
          <w:tcPr>
            <w:tcW w:w="1540" w:type="dxa"/>
            <w:tcBorders>
              <w:top w:val="nil"/>
              <w:left w:val="nil"/>
              <w:bottom w:val="single" w:sz="4" w:space="0" w:color="auto"/>
              <w:right w:val="single" w:sz="4" w:space="0" w:color="auto"/>
            </w:tcBorders>
            <w:shd w:val="clear" w:color="auto" w:fill="auto"/>
            <w:noWrap/>
            <w:vAlign w:val="center"/>
            <w:hideMark/>
          </w:tcPr>
          <w:p w14:paraId="3D5D74D8"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471,444</w:t>
            </w:r>
          </w:p>
        </w:tc>
      </w:tr>
      <w:tr w:rsidR="00315701" w:rsidRPr="00C63A39" w14:paraId="6F3334B6"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6A9B919" w14:textId="157E5219" w:rsidR="00315701" w:rsidRPr="00C63A39" w:rsidRDefault="00315701" w:rsidP="00315701">
            <w:pPr>
              <w:rPr>
                <w:color w:val="000000"/>
                <w:kern w:val="22"/>
                <w:szCs w:val="22"/>
                <w:lang w:val="fr-FR" w:eastAsia="en-CA"/>
              </w:rPr>
            </w:pPr>
            <w:r w:rsidRPr="00C63A39">
              <w:rPr>
                <w:color w:val="000000"/>
                <w:kern w:val="22"/>
                <w:szCs w:val="22"/>
                <w:lang w:val="fr-FR" w:eastAsia="en-CA"/>
              </w:rPr>
              <w:t>Jama</w:t>
            </w:r>
            <w:r w:rsidR="007C11C8" w:rsidRPr="00C63A39">
              <w:rPr>
                <w:color w:val="000000"/>
                <w:kern w:val="22"/>
                <w:szCs w:val="22"/>
                <w:lang w:val="fr-FR" w:eastAsia="en-CA"/>
              </w:rPr>
              <w:t>ï</w:t>
            </w:r>
            <w:r w:rsidR="002E4E90" w:rsidRPr="00C63A39">
              <w:rPr>
                <w:color w:val="000000"/>
                <w:kern w:val="22"/>
                <w:szCs w:val="22"/>
                <w:lang w:val="fr-FR" w:eastAsia="en-CA"/>
              </w:rPr>
              <w:t>que</w:t>
            </w:r>
          </w:p>
        </w:tc>
        <w:tc>
          <w:tcPr>
            <w:tcW w:w="1540" w:type="dxa"/>
            <w:tcBorders>
              <w:top w:val="nil"/>
              <w:left w:val="nil"/>
              <w:bottom w:val="single" w:sz="4" w:space="0" w:color="auto"/>
              <w:right w:val="single" w:sz="4" w:space="0" w:color="auto"/>
            </w:tcBorders>
            <w:shd w:val="clear" w:color="auto" w:fill="auto"/>
            <w:vAlign w:val="center"/>
            <w:hideMark/>
          </w:tcPr>
          <w:p w14:paraId="182EE0F5"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0.008 </w:t>
            </w:r>
          </w:p>
        </w:tc>
        <w:tc>
          <w:tcPr>
            <w:tcW w:w="1540" w:type="dxa"/>
            <w:tcBorders>
              <w:top w:val="nil"/>
              <w:left w:val="nil"/>
              <w:bottom w:val="single" w:sz="4" w:space="0" w:color="auto"/>
              <w:right w:val="single" w:sz="4" w:space="0" w:color="auto"/>
            </w:tcBorders>
            <w:shd w:val="clear" w:color="auto" w:fill="auto"/>
            <w:noWrap/>
            <w:vAlign w:val="center"/>
            <w:hideMark/>
          </w:tcPr>
          <w:p w14:paraId="5978C78E"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098C8767"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1,140</w:t>
            </w:r>
          </w:p>
        </w:tc>
      </w:tr>
      <w:tr w:rsidR="00315701" w:rsidRPr="00C63A39" w14:paraId="7BBDB6B2"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A7A1019" w14:textId="01CEF2E7" w:rsidR="00315701" w:rsidRPr="00C63A39" w:rsidRDefault="00315701" w:rsidP="00315701">
            <w:pPr>
              <w:rPr>
                <w:color w:val="000000"/>
                <w:kern w:val="22"/>
                <w:szCs w:val="22"/>
                <w:lang w:val="fr-FR" w:eastAsia="en-CA"/>
              </w:rPr>
            </w:pPr>
            <w:r w:rsidRPr="00C63A39">
              <w:rPr>
                <w:color w:val="000000"/>
                <w:kern w:val="22"/>
                <w:szCs w:val="22"/>
                <w:lang w:val="fr-FR" w:eastAsia="en-CA"/>
              </w:rPr>
              <w:t>Jap</w:t>
            </w:r>
            <w:r w:rsidR="002E4E90" w:rsidRPr="00C63A39">
              <w:rPr>
                <w:color w:val="000000"/>
                <w:kern w:val="22"/>
                <w:szCs w:val="22"/>
                <w:lang w:val="fr-FR" w:eastAsia="en-CA"/>
              </w:rPr>
              <w:t>on</w:t>
            </w:r>
          </w:p>
        </w:tc>
        <w:tc>
          <w:tcPr>
            <w:tcW w:w="1540" w:type="dxa"/>
            <w:tcBorders>
              <w:top w:val="nil"/>
              <w:left w:val="nil"/>
              <w:bottom w:val="single" w:sz="4" w:space="0" w:color="auto"/>
              <w:right w:val="single" w:sz="4" w:space="0" w:color="auto"/>
            </w:tcBorders>
            <w:shd w:val="clear" w:color="auto" w:fill="auto"/>
            <w:vAlign w:val="center"/>
            <w:hideMark/>
          </w:tcPr>
          <w:p w14:paraId="57C84ACC"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8.564 </w:t>
            </w:r>
          </w:p>
        </w:tc>
        <w:tc>
          <w:tcPr>
            <w:tcW w:w="1540" w:type="dxa"/>
            <w:tcBorders>
              <w:top w:val="nil"/>
              <w:left w:val="nil"/>
              <w:bottom w:val="single" w:sz="4" w:space="0" w:color="auto"/>
              <w:right w:val="single" w:sz="4" w:space="0" w:color="auto"/>
            </w:tcBorders>
            <w:shd w:val="clear" w:color="auto" w:fill="auto"/>
            <w:noWrap/>
            <w:vAlign w:val="center"/>
            <w:hideMark/>
          </w:tcPr>
          <w:p w14:paraId="39EA6B65"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10.707 </w:t>
            </w:r>
          </w:p>
        </w:tc>
        <w:tc>
          <w:tcPr>
            <w:tcW w:w="1540" w:type="dxa"/>
            <w:tcBorders>
              <w:top w:val="nil"/>
              <w:left w:val="nil"/>
              <w:bottom w:val="single" w:sz="4" w:space="0" w:color="auto"/>
              <w:right w:val="single" w:sz="4" w:space="0" w:color="auto"/>
            </w:tcBorders>
            <w:shd w:val="clear" w:color="auto" w:fill="auto"/>
            <w:noWrap/>
            <w:vAlign w:val="center"/>
            <w:hideMark/>
          </w:tcPr>
          <w:p w14:paraId="7126E21F"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1,220,878</w:t>
            </w:r>
          </w:p>
        </w:tc>
      </w:tr>
      <w:tr w:rsidR="00315701" w:rsidRPr="00C63A39" w14:paraId="18550510"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816B92F" w14:textId="4594CB0D" w:rsidR="00315701" w:rsidRPr="00C63A39" w:rsidRDefault="00315701" w:rsidP="00315701">
            <w:pPr>
              <w:rPr>
                <w:color w:val="000000"/>
                <w:kern w:val="22"/>
                <w:szCs w:val="22"/>
                <w:lang w:val="fr-FR" w:eastAsia="en-CA"/>
              </w:rPr>
            </w:pPr>
            <w:r w:rsidRPr="00C63A39">
              <w:rPr>
                <w:color w:val="000000"/>
                <w:kern w:val="22"/>
                <w:szCs w:val="22"/>
                <w:lang w:val="fr-FR" w:eastAsia="en-CA"/>
              </w:rPr>
              <w:t>Jordan</w:t>
            </w:r>
            <w:r w:rsidR="002E4E90" w:rsidRPr="00C63A39">
              <w:rPr>
                <w:color w:val="000000"/>
                <w:kern w:val="22"/>
                <w:szCs w:val="22"/>
                <w:lang w:val="fr-FR" w:eastAsia="en-CA"/>
              </w:rPr>
              <w:t>ie</w:t>
            </w:r>
          </w:p>
        </w:tc>
        <w:tc>
          <w:tcPr>
            <w:tcW w:w="1540" w:type="dxa"/>
            <w:tcBorders>
              <w:top w:val="nil"/>
              <w:left w:val="nil"/>
              <w:bottom w:val="single" w:sz="4" w:space="0" w:color="auto"/>
              <w:right w:val="single" w:sz="4" w:space="0" w:color="auto"/>
            </w:tcBorders>
            <w:shd w:val="clear" w:color="auto" w:fill="auto"/>
            <w:vAlign w:val="center"/>
            <w:hideMark/>
          </w:tcPr>
          <w:p w14:paraId="5ACB16EA"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0.021 </w:t>
            </w:r>
          </w:p>
        </w:tc>
        <w:tc>
          <w:tcPr>
            <w:tcW w:w="1540" w:type="dxa"/>
            <w:tcBorders>
              <w:top w:val="nil"/>
              <w:left w:val="nil"/>
              <w:bottom w:val="single" w:sz="4" w:space="0" w:color="auto"/>
              <w:right w:val="single" w:sz="4" w:space="0" w:color="auto"/>
            </w:tcBorders>
            <w:shd w:val="clear" w:color="auto" w:fill="auto"/>
            <w:noWrap/>
            <w:vAlign w:val="center"/>
            <w:hideMark/>
          </w:tcPr>
          <w:p w14:paraId="3C3AFCDA"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0.026 </w:t>
            </w:r>
          </w:p>
        </w:tc>
        <w:tc>
          <w:tcPr>
            <w:tcW w:w="1540" w:type="dxa"/>
            <w:tcBorders>
              <w:top w:val="nil"/>
              <w:left w:val="nil"/>
              <w:bottom w:val="single" w:sz="4" w:space="0" w:color="auto"/>
              <w:right w:val="single" w:sz="4" w:space="0" w:color="auto"/>
            </w:tcBorders>
            <w:shd w:val="clear" w:color="auto" w:fill="auto"/>
            <w:noWrap/>
            <w:vAlign w:val="center"/>
            <w:hideMark/>
          </w:tcPr>
          <w:p w14:paraId="3E031BF9"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2,994</w:t>
            </w:r>
          </w:p>
        </w:tc>
      </w:tr>
      <w:tr w:rsidR="00315701" w:rsidRPr="00C63A39" w14:paraId="6F7998AC"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0AFF5FB" w14:textId="77777777" w:rsidR="00315701" w:rsidRPr="00C63A39" w:rsidRDefault="00315701" w:rsidP="00315701">
            <w:pPr>
              <w:rPr>
                <w:color w:val="000000"/>
                <w:kern w:val="22"/>
                <w:szCs w:val="22"/>
                <w:lang w:val="fr-FR" w:eastAsia="en-CA"/>
              </w:rPr>
            </w:pPr>
            <w:r w:rsidRPr="00C63A39">
              <w:rPr>
                <w:color w:val="000000"/>
                <w:kern w:val="22"/>
                <w:szCs w:val="22"/>
                <w:lang w:val="fr-FR" w:eastAsia="en-CA"/>
              </w:rPr>
              <w:t>Kazakhstan</w:t>
            </w:r>
          </w:p>
        </w:tc>
        <w:tc>
          <w:tcPr>
            <w:tcW w:w="1540" w:type="dxa"/>
            <w:tcBorders>
              <w:top w:val="nil"/>
              <w:left w:val="nil"/>
              <w:bottom w:val="single" w:sz="4" w:space="0" w:color="auto"/>
              <w:right w:val="single" w:sz="4" w:space="0" w:color="auto"/>
            </w:tcBorders>
            <w:shd w:val="clear" w:color="auto" w:fill="auto"/>
            <w:vAlign w:val="center"/>
            <w:hideMark/>
          </w:tcPr>
          <w:p w14:paraId="497C5661"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0.178 </w:t>
            </w:r>
          </w:p>
        </w:tc>
        <w:tc>
          <w:tcPr>
            <w:tcW w:w="1540" w:type="dxa"/>
            <w:tcBorders>
              <w:top w:val="nil"/>
              <w:left w:val="nil"/>
              <w:bottom w:val="single" w:sz="4" w:space="0" w:color="auto"/>
              <w:right w:val="single" w:sz="4" w:space="0" w:color="auto"/>
            </w:tcBorders>
            <w:shd w:val="clear" w:color="auto" w:fill="auto"/>
            <w:noWrap/>
            <w:vAlign w:val="center"/>
            <w:hideMark/>
          </w:tcPr>
          <w:p w14:paraId="420AA9EB"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0.223 </w:t>
            </w:r>
          </w:p>
        </w:tc>
        <w:tc>
          <w:tcPr>
            <w:tcW w:w="1540" w:type="dxa"/>
            <w:tcBorders>
              <w:top w:val="nil"/>
              <w:left w:val="nil"/>
              <w:bottom w:val="single" w:sz="4" w:space="0" w:color="auto"/>
              <w:right w:val="single" w:sz="4" w:space="0" w:color="auto"/>
            </w:tcBorders>
            <w:shd w:val="clear" w:color="auto" w:fill="auto"/>
            <w:noWrap/>
            <w:vAlign w:val="center"/>
            <w:hideMark/>
          </w:tcPr>
          <w:p w14:paraId="2E257EAE"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25,376</w:t>
            </w:r>
          </w:p>
        </w:tc>
      </w:tr>
      <w:tr w:rsidR="00315701" w:rsidRPr="00C63A39" w14:paraId="6A5CA51E"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6E2F8EB" w14:textId="77777777" w:rsidR="00315701" w:rsidRPr="00C63A39" w:rsidRDefault="00315701" w:rsidP="00315701">
            <w:pPr>
              <w:rPr>
                <w:color w:val="000000"/>
                <w:kern w:val="22"/>
                <w:szCs w:val="22"/>
                <w:lang w:val="fr-FR" w:eastAsia="en-CA"/>
              </w:rPr>
            </w:pPr>
            <w:r w:rsidRPr="00C63A39">
              <w:rPr>
                <w:color w:val="000000"/>
                <w:kern w:val="22"/>
                <w:szCs w:val="22"/>
                <w:lang w:val="fr-FR" w:eastAsia="en-CA"/>
              </w:rPr>
              <w:t>Kenya</w:t>
            </w:r>
          </w:p>
        </w:tc>
        <w:tc>
          <w:tcPr>
            <w:tcW w:w="1540" w:type="dxa"/>
            <w:tcBorders>
              <w:top w:val="nil"/>
              <w:left w:val="nil"/>
              <w:bottom w:val="single" w:sz="4" w:space="0" w:color="auto"/>
              <w:right w:val="single" w:sz="4" w:space="0" w:color="auto"/>
            </w:tcBorders>
            <w:shd w:val="clear" w:color="auto" w:fill="auto"/>
            <w:vAlign w:val="center"/>
            <w:hideMark/>
          </w:tcPr>
          <w:p w14:paraId="6C7421B7"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0.024 </w:t>
            </w:r>
          </w:p>
        </w:tc>
        <w:tc>
          <w:tcPr>
            <w:tcW w:w="1540" w:type="dxa"/>
            <w:tcBorders>
              <w:top w:val="nil"/>
              <w:left w:val="nil"/>
              <w:bottom w:val="single" w:sz="4" w:space="0" w:color="auto"/>
              <w:right w:val="single" w:sz="4" w:space="0" w:color="auto"/>
            </w:tcBorders>
            <w:shd w:val="clear" w:color="auto" w:fill="auto"/>
            <w:noWrap/>
            <w:vAlign w:val="center"/>
            <w:hideMark/>
          </w:tcPr>
          <w:p w14:paraId="3E3E5B39"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0.030 </w:t>
            </w:r>
          </w:p>
        </w:tc>
        <w:tc>
          <w:tcPr>
            <w:tcW w:w="1540" w:type="dxa"/>
            <w:tcBorders>
              <w:top w:val="nil"/>
              <w:left w:val="nil"/>
              <w:bottom w:val="single" w:sz="4" w:space="0" w:color="auto"/>
              <w:right w:val="single" w:sz="4" w:space="0" w:color="auto"/>
            </w:tcBorders>
            <w:shd w:val="clear" w:color="auto" w:fill="auto"/>
            <w:noWrap/>
            <w:vAlign w:val="center"/>
            <w:hideMark/>
          </w:tcPr>
          <w:p w14:paraId="793E695A"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3,421</w:t>
            </w:r>
          </w:p>
        </w:tc>
      </w:tr>
      <w:tr w:rsidR="00315701" w:rsidRPr="00C63A39" w14:paraId="5F527E94"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F3760D0" w14:textId="77777777" w:rsidR="00315701" w:rsidRPr="00C63A39" w:rsidRDefault="00315701" w:rsidP="00315701">
            <w:pPr>
              <w:rPr>
                <w:color w:val="000000"/>
                <w:kern w:val="22"/>
                <w:szCs w:val="22"/>
                <w:lang w:val="fr-FR" w:eastAsia="en-CA"/>
              </w:rPr>
            </w:pPr>
            <w:r w:rsidRPr="00C63A39">
              <w:rPr>
                <w:color w:val="000000"/>
                <w:kern w:val="22"/>
                <w:szCs w:val="22"/>
                <w:lang w:val="fr-FR" w:eastAsia="en-CA"/>
              </w:rPr>
              <w:t>Kiribati</w:t>
            </w:r>
          </w:p>
        </w:tc>
        <w:tc>
          <w:tcPr>
            <w:tcW w:w="1540" w:type="dxa"/>
            <w:tcBorders>
              <w:top w:val="nil"/>
              <w:left w:val="nil"/>
              <w:bottom w:val="single" w:sz="4" w:space="0" w:color="auto"/>
              <w:right w:val="single" w:sz="4" w:space="0" w:color="auto"/>
            </w:tcBorders>
            <w:shd w:val="clear" w:color="auto" w:fill="auto"/>
            <w:vAlign w:val="center"/>
            <w:hideMark/>
          </w:tcPr>
          <w:p w14:paraId="0A8A0181"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6B6861BD"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1E7A927D"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143</w:t>
            </w:r>
          </w:p>
        </w:tc>
      </w:tr>
      <w:tr w:rsidR="00315701" w:rsidRPr="00C63A39" w14:paraId="676BB9CE"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ACEE44E" w14:textId="6E55BE5E" w:rsidR="00315701" w:rsidRPr="00C63A39" w:rsidRDefault="002E4E90" w:rsidP="00315701">
            <w:pPr>
              <w:rPr>
                <w:color w:val="000000"/>
                <w:kern w:val="22"/>
                <w:szCs w:val="22"/>
                <w:lang w:val="fr-FR" w:eastAsia="en-CA"/>
              </w:rPr>
            </w:pPr>
            <w:r w:rsidRPr="00C63A39">
              <w:rPr>
                <w:color w:val="000000"/>
                <w:kern w:val="22"/>
                <w:szCs w:val="22"/>
                <w:lang w:val="fr-FR" w:eastAsia="en-CA"/>
              </w:rPr>
              <w:t>Koweït</w:t>
            </w:r>
          </w:p>
        </w:tc>
        <w:tc>
          <w:tcPr>
            <w:tcW w:w="1540" w:type="dxa"/>
            <w:tcBorders>
              <w:top w:val="nil"/>
              <w:left w:val="nil"/>
              <w:bottom w:val="single" w:sz="4" w:space="0" w:color="auto"/>
              <w:right w:val="single" w:sz="4" w:space="0" w:color="auto"/>
            </w:tcBorders>
            <w:shd w:val="clear" w:color="auto" w:fill="auto"/>
            <w:vAlign w:val="center"/>
            <w:hideMark/>
          </w:tcPr>
          <w:p w14:paraId="6E197DCB"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0.252 </w:t>
            </w:r>
          </w:p>
        </w:tc>
        <w:tc>
          <w:tcPr>
            <w:tcW w:w="1540" w:type="dxa"/>
            <w:tcBorders>
              <w:top w:val="nil"/>
              <w:left w:val="nil"/>
              <w:bottom w:val="single" w:sz="4" w:space="0" w:color="auto"/>
              <w:right w:val="single" w:sz="4" w:space="0" w:color="auto"/>
            </w:tcBorders>
            <w:shd w:val="clear" w:color="auto" w:fill="auto"/>
            <w:noWrap/>
            <w:vAlign w:val="center"/>
            <w:hideMark/>
          </w:tcPr>
          <w:p w14:paraId="62FBBF84"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0.315 </w:t>
            </w:r>
          </w:p>
        </w:tc>
        <w:tc>
          <w:tcPr>
            <w:tcW w:w="1540" w:type="dxa"/>
            <w:tcBorders>
              <w:top w:val="nil"/>
              <w:left w:val="nil"/>
              <w:bottom w:val="single" w:sz="4" w:space="0" w:color="auto"/>
              <w:right w:val="single" w:sz="4" w:space="0" w:color="auto"/>
            </w:tcBorders>
            <w:shd w:val="clear" w:color="auto" w:fill="auto"/>
            <w:noWrap/>
            <w:vAlign w:val="center"/>
            <w:hideMark/>
          </w:tcPr>
          <w:p w14:paraId="6EEF2502"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35,925</w:t>
            </w:r>
          </w:p>
        </w:tc>
      </w:tr>
      <w:tr w:rsidR="00315701" w:rsidRPr="00C63A39" w14:paraId="3361327D"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AC40C3F" w14:textId="04C7EC94" w:rsidR="00315701" w:rsidRPr="00C63A39" w:rsidRDefault="002E4E90" w:rsidP="00315701">
            <w:pPr>
              <w:rPr>
                <w:color w:val="000000"/>
                <w:kern w:val="22"/>
                <w:szCs w:val="22"/>
                <w:lang w:val="fr-FR" w:eastAsia="en-CA"/>
              </w:rPr>
            </w:pPr>
            <w:r w:rsidRPr="00C63A39">
              <w:rPr>
                <w:color w:val="000000"/>
                <w:kern w:val="22"/>
                <w:szCs w:val="22"/>
                <w:lang w:val="fr-FR" w:eastAsia="en-CA"/>
              </w:rPr>
              <w:t>Kirghizistan</w:t>
            </w:r>
          </w:p>
        </w:tc>
        <w:tc>
          <w:tcPr>
            <w:tcW w:w="1540" w:type="dxa"/>
            <w:tcBorders>
              <w:top w:val="nil"/>
              <w:left w:val="nil"/>
              <w:bottom w:val="single" w:sz="4" w:space="0" w:color="auto"/>
              <w:right w:val="single" w:sz="4" w:space="0" w:color="auto"/>
            </w:tcBorders>
            <w:shd w:val="clear" w:color="auto" w:fill="auto"/>
            <w:vAlign w:val="center"/>
            <w:hideMark/>
          </w:tcPr>
          <w:p w14:paraId="3E16A2C1"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056EA61A"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00E6DAB6"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285</w:t>
            </w:r>
          </w:p>
        </w:tc>
      </w:tr>
      <w:tr w:rsidR="00315701" w:rsidRPr="00C63A39" w14:paraId="42A7133E"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2DAABFF" w14:textId="48311968" w:rsidR="00315701" w:rsidRPr="00C63A39" w:rsidRDefault="002E4E90" w:rsidP="00315701">
            <w:pPr>
              <w:rPr>
                <w:color w:val="000000"/>
                <w:kern w:val="22"/>
                <w:szCs w:val="22"/>
                <w:lang w:val="fr-FR" w:eastAsia="en-CA"/>
              </w:rPr>
            </w:pPr>
            <w:r w:rsidRPr="00C63A39">
              <w:rPr>
                <w:color w:val="000000"/>
                <w:kern w:val="22"/>
                <w:szCs w:val="22"/>
                <w:lang w:val="fr-FR" w:eastAsia="en-CA"/>
              </w:rPr>
              <w:t>République démocratique populaire lao</w:t>
            </w:r>
          </w:p>
        </w:tc>
        <w:tc>
          <w:tcPr>
            <w:tcW w:w="1540" w:type="dxa"/>
            <w:tcBorders>
              <w:top w:val="nil"/>
              <w:left w:val="nil"/>
              <w:bottom w:val="single" w:sz="4" w:space="0" w:color="auto"/>
              <w:right w:val="single" w:sz="4" w:space="0" w:color="auto"/>
            </w:tcBorders>
            <w:shd w:val="clear" w:color="auto" w:fill="auto"/>
            <w:vAlign w:val="center"/>
            <w:hideMark/>
          </w:tcPr>
          <w:p w14:paraId="0A0518AA"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14:paraId="008FE460"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14:paraId="2B38F1F5"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713</w:t>
            </w:r>
          </w:p>
        </w:tc>
      </w:tr>
      <w:tr w:rsidR="00315701" w:rsidRPr="00C63A39" w14:paraId="61B85DED"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E9A06F2" w14:textId="3E12C584" w:rsidR="00315701" w:rsidRPr="00C63A39" w:rsidRDefault="00315701" w:rsidP="00315701">
            <w:pPr>
              <w:rPr>
                <w:color w:val="000000"/>
                <w:kern w:val="22"/>
                <w:szCs w:val="22"/>
                <w:lang w:val="fr-FR" w:eastAsia="en-CA"/>
              </w:rPr>
            </w:pPr>
            <w:r w:rsidRPr="00C63A39">
              <w:rPr>
                <w:color w:val="000000"/>
                <w:kern w:val="22"/>
                <w:szCs w:val="22"/>
                <w:lang w:val="fr-FR" w:eastAsia="en-CA"/>
              </w:rPr>
              <w:t>L</w:t>
            </w:r>
            <w:r w:rsidR="002E4E90" w:rsidRPr="00C63A39">
              <w:rPr>
                <w:color w:val="000000"/>
                <w:kern w:val="22"/>
                <w:szCs w:val="22"/>
                <w:lang w:val="fr-FR" w:eastAsia="en-CA"/>
              </w:rPr>
              <w:t>ettonie</w:t>
            </w:r>
          </w:p>
        </w:tc>
        <w:tc>
          <w:tcPr>
            <w:tcW w:w="1540" w:type="dxa"/>
            <w:tcBorders>
              <w:top w:val="nil"/>
              <w:left w:val="nil"/>
              <w:bottom w:val="single" w:sz="4" w:space="0" w:color="auto"/>
              <w:right w:val="single" w:sz="4" w:space="0" w:color="auto"/>
            </w:tcBorders>
            <w:shd w:val="clear" w:color="auto" w:fill="auto"/>
            <w:vAlign w:val="center"/>
            <w:hideMark/>
          </w:tcPr>
          <w:p w14:paraId="16092817"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0.047 </w:t>
            </w:r>
          </w:p>
        </w:tc>
        <w:tc>
          <w:tcPr>
            <w:tcW w:w="1540" w:type="dxa"/>
            <w:tcBorders>
              <w:top w:val="nil"/>
              <w:left w:val="nil"/>
              <w:bottom w:val="single" w:sz="4" w:space="0" w:color="auto"/>
              <w:right w:val="single" w:sz="4" w:space="0" w:color="auto"/>
            </w:tcBorders>
            <w:shd w:val="clear" w:color="auto" w:fill="auto"/>
            <w:noWrap/>
            <w:vAlign w:val="center"/>
            <w:hideMark/>
          </w:tcPr>
          <w:p w14:paraId="7853BA57"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0.059 </w:t>
            </w:r>
          </w:p>
        </w:tc>
        <w:tc>
          <w:tcPr>
            <w:tcW w:w="1540" w:type="dxa"/>
            <w:tcBorders>
              <w:top w:val="nil"/>
              <w:left w:val="nil"/>
              <w:bottom w:val="single" w:sz="4" w:space="0" w:color="auto"/>
              <w:right w:val="single" w:sz="4" w:space="0" w:color="auto"/>
            </w:tcBorders>
            <w:shd w:val="clear" w:color="auto" w:fill="auto"/>
            <w:noWrap/>
            <w:vAlign w:val="center"/>
            <w:hideMark/>
          </w:tcPr>
          <w:p w14:paraId="3F20A074"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6,700</w:t>
            </w:r>
          </w:p>
        </w:tc>
      </w:tr>
      <w:tr w:rsidR="00315701" w:rsidRPr="00C63A39" w14:paraId="40D8A5D6"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8F83A7D" w14:textId="68CD7B8A" w:rsidR="00315701" w:rsidRPr="00C63A39" w:rsidRDefault="002E4E90" w:rsidP="00315701">
            <w:pPr>
              <w:rPr>
                <w:color w:val="000000"/>
                <w:kern w:val="22"/>
                <w:szCs w:val="22"/>
                <w:lang w:val="fr-FR" w:eastAsia="en-CA"/>
              </w:rPr>
            </w:pPr>
            <w:r w:rsidRPr="00C63A39">
              <w:rPr>
                <w:color w:val="000000"/>
                <w:kern w:val="22"/>
                <w:szCs w:val="22"/>
                <w:lang w:val="fr-FR" w:eastAsia="en-CA"/>
              </w:rPr>
              <w:t>Liban</w:t>
            </w:r>
          </w:p>
        </w:tc>
        <w:tc>
          <w:tcPr>
            <w:tcW w:w="1540" w:type="dxa"/>
            <w:tcBorders>
              <w:top w:val="nil"/>
              <w:left w:val="nil"/>
              <w:bottom w:val="single" w:sz="4" w:space="0" w:color="auto"/>
              <w:right w:val="single" w:sz="4" w:space="0" w:color="auto"/>
            </w:tcBorders>
            <w:shd w:val="clear" w:color="auto" w:fill="auto"/>
            <w:vAlign w:val="center"/>
            <w:hideMark/>
          </w:tcPr>
          <w:p w14:paraId="65E8D51A"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0.047 </w:t>
            </w:r>
          </w:p>
        </w:tc>
        <w:tc>
          <w:tcPr>
            <w:tcW w:w="1540" w:type="dxa"/>
            <w:tcBorders>
              <w:top w:val="nil"/>
              <w:left w:val="nil"/>
              <w:bottom w:val="single" w:sz="4" w:space="0" w:color="auto"/>
              <w:right w:val="single" w:sz="4" w:space="0" w:color="auto"/>
            </w:tcBorders>
            <w:shd w:val="clear" w:color="auto" w:fill="auto"/>
            <w:noWrap/>
            <w:vAlign w:val="center"/>
            <w:hideMark/>
          </w:tcPr>
          <w:p w14:paraId="304444DA"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0.059 </w:t>
            </w:r>
          </w:p>
        </w:tc>
        <w:tc>
          <w:tcPr>
            <w:tcW w:w="1540" w:type="dxa"/>
            <w:tcBorders>
              <w:top w:val="nil"/>
              <w:left w:val="nil"/>
              <w:bottom w:val="single" w:sz="4" w:space="0" w:color="auto"/>
              <w:right w:val="single" w:sz="4" w:space="0" w:color="auto"/>
            </w:tcBorders>
            <w:shd w:val="clear" w:color="auto" w:fill="auto"/>
            <w:noWrap/>
            <w:vAlign w:val="center"/>
            <w:hideMark/>
          </w:tcPr>
          <w:p w14:paraId="46122315"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6,700</w:t>
            </w:r>
          </w:p>
        </w:tc>
      </w:tr>
      <w:tr w:rsidR="00315701" w:rsidRPr="00C63A39" w14:paraId="40DEFCDE"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25EC7FA" w14:textId="77777777" w:rsidR="00315701" w:rsidRPr="00C63A39" w:rsidRDefault="00315701" w:rsidP="00315701">
            <w:pPr>
              <w:rPr>
                <w:color w:val="000000"/>
                <w:kern w:val="22"/>
                <w:szCs w:val="22"/>
                <w:lang w:val="fr-FR" w:eastAsia="en-CA"/>
              </w:rPr>
            </w:pPr>
            <w:r w:rsidRPr="00C63A39">
              <w:rPr>
                <w:color w:val="000000"/>
                <w:kern w:val="22"/>
                <w:szCs w:val="22"/>
                <w:lang w:val="fr-FR" w:eastAsia="en-CA"/>
              </w:rPr>
              <w:t>Lesotho</w:t>
            </w:r>
          </w:p>
        </w:tc>
        <w:tc>
          <w:tcPr>
            <w:tcW w:w="1540" w:type="dxa"/>
            <w:tcBorders>
              <w:top w:val="nil"/>
              <w:left w:val="nil"/>
              <w:bottom w:val="single" w:sz="4" w:space="0" w:color="auto"/>
              <w:right w:val="single" w:sz="4" w:space="0" w:color="auto"/>
            </w:tcBorders>
            <w:shd w:val="clear" w:color="auto" w:fill="auto"/>
            <w:vAlign w:val="center"/>
            <w:hideMark/>
          </w:tcPr>
          <w:p w14:paraId="192A955E"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11B0FEEF"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4E30CAC0"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143</w:t>
            </w:r>
          </w:p>
        </w:tc>
      </w:tr>
      <w:tr w:rsidR="00315701" w:rsidRPr="00C63A39" w14:paraId="4B72DAB1"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597B7AD" w14:textId="2B20A957" w:rsidR="00315701" w:rsidRPr="00C63A39" w:rsidRDefault="00315701" w:rsidP="00315701">
            <w:pPr>
              <w:rPr>
                <w:color w:val="000000"/>
                <w:kern w:val="22"/>
                <w:szCs w:val="22"/>
                <w:lang w:val="fr-FR" w:eastAsia="en-CA"/>
              </w:rPr>
            </w:pPr>
            <w:r w:rsidRPr="00C63A39">
              <w:rPr>
                <w:color w:val="000000"/>
                <w:kern w:val="22"/>
                <w:szCs w:val="22"/>
                <w:lang w:val="fr-FR" w:eastAsia="en-CA"/>
              </w:rPr>
              <w:t>Liber</w:t>
            </w:r>
            <w:r w:rsidR="002E4E90" w:rsidRPr="00C63A39">
              <w:rPr>
                <w:color w:val="000000"/>
                <w:kern w:val="22"/>
                <w:szCs w:val="22"/>
                <w:lang w:val="fr-FR" w:eastAsia="en-CA"/>
              </w:rPr>
              <w:t>ia</w:t>
            </w:r>
          </w:p>
        </w:tc>
        <w:tc>
          <w:tcPr>
            <w:tcW w:w="1540" w:type="dxa"/>
            <w:tcBorders>
              <w:top w:val="nil"/>
              <w:left w:val="nil"/>
              <w:bottom w:val="single" w:sz="4" w:space="0" w:color="auto"/>
              <w:right w:val="single" w:sz="4" w:space="0" w:color="auto"/>
            </w:tcBorders>
            <w:shd w:val="clear" w:color="auto" w:fill="auto"/>
            <w:vAlign w:val="center"/>
            <w:hideMark/>
          </w:tcPr>
          <w:p w14:paraId="686E3852"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67737EC6"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54D35BBA"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143</w:t>
            </w:r>
          </w:p>
        </w:tc>
      </w:tr>
      <w:tr w:rsidR="00315701" w:rsidRPr="00C63A39" w14:paraId="63A25F62"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03C9644" w14:textId="5A1D008B" w:rsidR="00315701" w:rsidRPr="00C63A39" w:rsidRDefault="00315701" w:rsidP="00315701">
            <w:pPr>
              <w:rPr>
                <w:color w:val="000000"/>
                <w:kern w:val="22"/>
                <w:szCs w:val="22"/>
                <w:lang w:val="fr-FR" w:eastAsia="en-CA"/>
              </w:rPr>
            </w:pPr>
            <w:r w:rsidRPr="00C63A39">
              <w:rPr>
                <w:color w:val="000000"/>
                <w:kern w:val="22"/>
                <w:szCs w:val="22"/>
                <w:lang w:val="fr-FR" w:eastAsia="en-CA"/>
              </w:rPr>
              <w:t>Liby</w:t>
            </w:r>
            <w:r w:rsidR="002E4E90" w:rsidRPr="00C63A39">
              <w:rPr>
                <w:color w:val="000000"/>
                <w:kern w:val="22"/>
                <w:szCs w:val="22"/>
                <w:lang w:val="fr-FR" w:eastAsia="en-CA"/>
              </w:rPr>
              <w:t>e</w:t>
            </w:r>
          </w:p>
        </w:tc>
        <w:tc>
          <w:tcPr>
            <w:tcW w:w="1540" w:type="dxa"/>
            <w:tcBorders>
              <w:top w:val="nil"/>
              <w:left w:val="nil"/>
              <w:bottom w:val="single" w:sz="4" w:space="0" w:color="auto"/>
              <w:right w:val="single" w:sz="4" w:space="0" w:color="auto"/>
            </w:tcBorders>
            <w:shd w:val="clear" w:color="auto" w:fill="auto"/>
            <w:vAlign w:val="center"/>
            <w:hideMark/>
          </w:tcPr>
          <w:p w14:paraId="7F5D59A2"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0.030 </w:t>
            </w:r>
          </w:p>
        </w:tc>
        <w:tc>
          <w:tcPr>
            <w:tcW w:w="1540" w:type="dxa"/>
            <w:tcBorders>
              <w:top w:val="nil"/>
              <w:left w:val="nil"/>
              <w:bottom w:val="single" w:sz="4" w:space="0" w:color="auto"/>
              <w:right w:val="single" w:sz="4" w:space="0" w:color="auto"/>
            </w:tcBorders>
            <w:shd w:val="clear" w:color="auto" w:fill="auto"/>
            <w:noWrap/>
            <w:vAlign w:val="center"/>
            <w:hideMark/>
          </w:tcPr>
          <w:p w14:paraId="3B449F20"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0.038 </w:t>
            </w:r>
          </w:p>
        </w:tc>
        <w:tc>
          <w:tcPr>
            <w:tcW w:w="1540" w:type="dxa"/>
            <w:tcBorders>
              <w:top w:val="nil"/>
              <w:left w:val="nil"/>
              <w:bottom w:val="single" w:sz="4" w:space="0" w:color="auto"/>
              <w:right w:val="single" w:sz="4" w:space="0" w:color="auto"/>
            </w:tcBorders>
            <w:shd w:val="clear" w:color="auto" w:fill="auto"/>
            <w:noWrap/>
            <w:vAlign w:val="center"/>
            <w:hideMark/>
          </w:tcPr>
          <w:p w14:paraId="52997174"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4,277</w:t>
            </w:r>
          </w:p>
        </w:tc>
      </w:tr>
      <w:tr w:rsidR="00315701" w:rsidRPr="00C63A39" w14:paraId="2D3BFE67"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732102F" w14:textId="77777777" w:rsidR="00315701" w:rsidRPr="00C63A39" w:rsidRDefault="00315701" w:rsidP="00315701">
            <w:pPr>
              <w:rPr>
                <w:color w:val="000000"/>
                <w:kern w:val="22"/>
                <w:szCs w:val="22"/>
                <w:lang w:val="fr-FR" w:eastAsia="en-CA"/>
              </w:rPr>
            </w:pPr>
            <w:r w:rsidRPr="00C63A39">
              <w:rPr>
                <w:color w:val="000000"/>
                <w:kern w:val="22"/>
                <w:szCs w:val="22"/>
                <w:lang w:val="fr-FR" w:eastAsia="en-CA"/>
              </w:rPr>
              <w:t>Liechtenstein</w:t>
            </w:r>
          </w:p>
        </w:tc>
        <w:tc>
          <w:tcPr>
            <w:tcW w:w="1540" w:type="dxa"/>
            <w:tcBorders>
              <w:top w:val="nil"/>
              <w:left w:val="nil"/>
              <w:bottom w:val="single" w:sz="4" w:space="0" w:color="auto"/>
              <w:right w:val="single" w:sz="4" w:space="0" w:color="auto"/>
            </w:tcBorders>
            <w:shd w:val="clear" w:color="auto" w:fill="auto"/>
            <w:vAlign w:val="center"/>
            <w:hideMark/>
          </w:tcPr>
          <w:p w14:paraId="06A3D643"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14:paraId="565F6D21"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0.011 </w:t>
            </w:r>
          </w:p>
        </w:tc>
        <w:tc>
          <w:tcPr>
            <w:tcW w:w="1540" w:type="dxa"/>
            <w:tcBorders>
              <w:top w:val="nil"/>
              <w:left w:val="nil"/>
              <w:bottom w:val="single" w:sz="4" w:space="0" w:color="auto"/>
              <w:right w:val="single" w:sz="4" w:space="0" w:color="auto"/>
            </w:tcBorders>
            <w:shd w:val="clear" w:color="auto" w:fill="auto"/>
            <w:noWrap/>
            <w:vAlign w:val="center"/>
            <w:hideMark/>
          </w:tcPr>
          <w:p w14:paraId="25EA6BF3"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1,283</w:t>
            </w:r>
          </w:p>
        </w:tc>
      </w:tr>
      <w:tr w:rsidR="00315701" w:rsidRPr="00C63A39" w14:paraId="3EC3B962"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19B86F0" w14:textId="3F88B2A7" w:rsidR="00315701" w:rsidRPr="00C63A39" w:rsidRDefault="00315701" w:rsidP="00315701">
            <w:pPr>
              <w:rPr>
                <w:color w:val="000000"/>
                <w:kern w:val="22"/>
                <w:szCs w:val="22"/>
                <w:lang w:val="fr-FR" w:eastAsia="en-CA"/>
              </w:rPr>
            </w:pPr>
            <w:r w:rsidRPr="00C63A39">
              <w:rPr>
                <w:color w:val="000000"/>
                <w:kern w:val="22"/>
                <w:szCs w:val="22"/>
                <w:lang w:val="fr-FR" w:eastAsia="en-CA"/>
              </w:rPr>
              <w:t>Lit</w:t>
            </w:r>
            <w:r w:rsidR="002E4E90" w:rsidRPr="00C63A39">
              <w:rPr>
                <w:color w:val="000000"/>
                <w:kern w:val="22"/>
                <w:szCs w:val="22"/>
                <w:lang w:val="fr-FR" w:eastAsia="en-CA"/>
              </w:rPr>
              <w:t>uanie</w:t>
            </w:r>
          </w:p>
        </w:tc>
        <w:tc>
          <w:tcPr>
            <w:tcW w:w="1540" w:type="dxa"/>
            <w:tcBorders>
              <w:top w:val="nil"/>
              <w:left w:val="nil"/>
              <w:bottom w:val="single" w:sz="4" w:space="0" w:color="auto"/>
              <w:right w:val="single" w:sz="4" w:space="0" w:color="auto"/>
            </w:tcBorders>
            <w:shd w:val="clear" w:color="auto" w:fill="auto"/>
            <w:vAlign w:val="center"/>
            <w:hideMark/>
          </w:tcPr>
          <w:p w14:paraId="76949700"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0.071 </w:t>
            </w:r>
          </w:p>
        </w:tc>
        <w:tc>
          <w:tcPr>
            <w:tcW w:w="1540" w:type="dxa"/>
            <w:tcBorders>
              <w:top w:val="nil"/>
              <w:left w:val="nil"/>
              <w:bottom w:val="single" w:sz="4" w:space="0" w:color="auto"/>
              <w:right w:val="single" w:sz="4" w:space="0" w:color="auto"/>
            </w:tcBorders>
            <w:shd w:val="clear" w:color="auto" w:fill="auto"/>
            <w:noWrap/>
            <w:vAlign w:val="center"/>
            <w:hideMark/>
          </w:tcPr>
          <w:p w14:paraId="3D71D7E8"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0.089 </w:t>
            </w:r>
          </w:p>
        </w:tc>
        <w:tc>
          <w:tcPr>
            <w:tcW w:w="1540" w:type="dxa"/>
            <w:tcBorders>
              <w:top w:val="nil"/>
              <w:left w:val="nil"/>
              <w:bottom w:val="single" w:sz="4" w:space="0" w:color="auto"/>
              <w:right w:val="single" w:sz="4" w:space="0" w:color="auto"/>
            </w:tcBorders>
            <w:shd w:val="clear" w:color="auto" w:fill="auto"/>
            <w:noWrap/>
            <w:vAlign w:val="center"/>
            <w:hideMark/>
          </w:tcPr>
          <w:p w14:paraId="5374B154"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10,122</w:t>
            </w:r>
          </w:p>
        </w:tc>
      </w:tr>
      <w:tr w:rsidR="00315701" w:rsidRPr="00C63A39" w14:paraId="094F3C37"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5ABC495" w14:textId="77777777" w:rsidR="00315701" w:rsidRPr="00C63A39" w:rsidRDefault="00315701" w:rsidP="00315701">
            <w:pPr>
              <w:rPr>
                <w:color w:val="000000"/>
                <w:kern w:val="22"/>
                <w:szCs w:val="22"/>
                <w:lang w:val="fr-FR" w:eastAsia="en-CA"/>
              </w:rPr>
            </w:pPr>
            <w:r w:rsidRPr="00C63A39">
              <w:rPr>
                <w:color w:val="000000"/>
                <w:kern w:val="22"/>
                <w:szCs w:val="22"/>
                <w:lang w:val="fr-FR" w:eastAsia="en-CA"/>
              </w:rPr>
              <w:t>Luxembourg</w:t>
            </w:r>
          </w:p>
        </w:tc>
        <w:tc>
          <w:tcPr>
            <w:tcW w:w="1540" w:type="dxa"/>
            <w:tcBorders>
              <w:top w:val="nil"/>
              <w:left w:val="nil"/>
              <w:bottom w:val="single" w:sz="4" w:space="0" w:color="auto"/>
              <w:right w:val="single" w:sz="4" w:space="0" w:color="auto"/>
            </w:tcBorders>
            <w:shd w:val="clear" w:color="auto" w:fill="auto"/>
            <w:vAlign w:val="center"/>
            <w:hideMark/>
          </w:tcPr>
          <w:p w14:paraId="59A17C1E"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0.067 </w:t>
            </w:r>
          </w:p>
        </w:tc>
        <w:tc>
          <w:tcPr>
            <w:tcW w:w="1540" w:type="dxa"/>
            <w:tcBorders>
              <w:top w:val="nil"/>
              <w:left w:val="nil"/>
              <w:bottom w:val="single" w:sz="4" w:space="0" w:color="auto"/>
              <w:right w:val="single" w:sz="4" w:space="0" w:color="auto"/>
            </w:tcBorders>
            <w:shd w:val="clear" w:color="auto" w:fill="auto"/>
            <w:noWrap/>
            <w:vAlign w:val="center"/>
            <w:hideMark/>
          </w:tcPr>
          <w:p w14:paraId="23236BA2"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0.084 </w:t>
            </w:r>
          </w:p>
        </w:tc>
        <w:tc>
          <w:tcPr>
            <w:tcW w:w="1540" w:type="dxa"/>
            <w:tcBorders>
              <w:top w:val="nil"/>
              <w:left w:val="nil"/>
              <w:bottom w:val="single" w:sz="4" w:space="0" w:color="auto"/>
              <w:right w:val="single" w:sz="4" w:space="0" w:color="auto"/>
            </w:tcBorders>
            <w:shd w:val="clear" w:color="auto" w:fill="auto"/>
            <w:noWrap/>
            <w:vAlign w:val="center"/>
            <w:hideMark/>
          </w:tcPr>
          <w:p w14:paraId="20E4EC70"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9,551</w:t>
            </w:r>
          </w:p>
        </w:tc>
      </w:tr>
      <w:tr w:rsidR="00315701" w:rsidRPr="00C63A39" w14:paraId="450FE8D6"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FC5ADF2" w14:textId="77777777" w:rsidR="00315701" w:rsidRPr="00C63A39" w:rsidRDefault="00315701" w:rsidP="00315701">
            <w:pPr>
              <w:rPr>
                <w:color w:val="000000"/>
                <w:kern w:val="22"/>
                <w:szCs w:val="22"/>
                <w:lang w:val="fr-FR" w:eastAsia="en-CA"/>
              </w:rPr>
            </w:pPr>
            <w:r w:rsidRPr="00C63A39">
              <w:rPr>
                <w:color w:val="000000"/>
                <w:kern w:val="22"/>
                <w:szCs w:val="22"/>
                <w:lang w:val="fr-FR" w:eastAsia="en-CA"/>
              </w:rPr>
              <w:t>Madagascar</w:t>
            </w:r>
          </w:p>
        </w:tc>
        <w:tc>
          <w:tcPr>
            <w:tcW w:w="1540" w:type="dxa"/>
            <w:tcBorders>
              <w:top w:val="nil"/>
              <w:left w:val="nil"/>
              <w:bottom w:val="single" w:sz="4" w:space="0" w:color="auto"/>
              <w:right w:val="single" w:sz="4" w:space="0" w:color="auto"/>
            </w:tcBorders>
            <w:shd w:val="clear" w:color="auto" w:fill="auto"/>
            <w:vAlign w:val="center"/>
            <w:hideMark/>
          </w:tcPr>
          <w:p w14:paraId="1DAEFDF3"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5D510F5E"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14:paraId="09C77CEB"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570</w:t>
            </w:r>
          </w:p>
        </w:tc>
      </w:tr>
      <w:tr w:rsidR="00315701" w:rsidRPr="00C63A39" w14:paraId="0435F866"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E642CB1" w14:textId="77777777" w:rsidR="00315701" w:rsidRPr="00C63A39" w:rsidRDefault="00315701" w:rsidP="00315701">
            <w:pPr>
              <w:rPr>
                <w:color w:val="000000"/>
                <w:kern w:val="22"/>
                <w:szCs w:val="22"/>
                <w:lang w:val="fr-FR" w:eastAsia="en-CA"/>
              </w:rPr>
            </w:pPr>
            <w:r w:rsidRPr="00C63A39">
              <w:rPr>
                <w:color w:val="000000"/>
                <w:kern w:val="22"/>
                <w:szCs w:val="22"/>
                <w:lang w:val="fr-FR" w:eastAsia="en-CA"/>
              </w:rPr>
              <w:t>Malawi</w:t>
            </w:r>
          </w:p>
        </w:tc>
        <w:tc>
          <w:tcPr>
            <w:tcW w:w="1540" w:type="dxa"/>
            <w:tcBorders>
              <w:top w:val="nil"/>
              <w:left w:val="nil"/>
              <w:bottom w:val="single" w:sz="4" w:space="0" w:color="auto"/>
              <w:right w:val="single" w:sz="4" w:space="0" w:color="auto"/>
            </w:tcBorders>
            <w:shd w:val="clear" w:color="auto" w:fill="auto"/>
            <w:vAlign w:val="center"/>
            <w:hideMark/>
          </w:tcPr>
          <w:p w14:paraId="341338B3"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6072FFEB"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36D0D2DB"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285</w:t>
            </w:r>
          </w:p>
        </w:tc>
      </w:tr>
      <w:tr w:rsidR="00315701" w:rsidRPr="00C63A39" w14:paraId="64D580B1"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587168E" w14:textId="6AAB3A2F" w:rsidR="00315701" w:rsidRPr="00C63A39" w:rsidRDefault="00315701" w:rsidP="00315701">
            <w:pPr>
              <w:rPr>
                <w:color w:val="000000"/>
                <w:kern w:val="22"/>
                <w:szCs w:val="22"/>
                <w:lang w:val="fr-FR" w:eastAsia="en-CA"/>
              </w:rPr>
            </w:pPr>
            <w:r w:rsidRPr="00C63A39">
              <w:rPr>
                <w:color w:val="000000"/>
                <w:kern w:val="22"/>
                <w:szCs w:val="22"/>
                <w:lang w:val="fr-FR" w:eastAsia="en-CA"/>
              </w:rPr>
              <w:t>Mala</w:t>
            </w:r>
            <w:r w:rsidR="002E4E90" w:rsidRPr="00C63A39">
              <w:rPr>
                <w:color w:val="000000"/>
                <w:kern w:val="22"/>
                <w:szCs w:val="22"/>
                <w:lang w:val="fr-FR" w:eastAsia="en-CA"/>
              </w:rPr>
              <w:t>isie</w:t>
            </w:r>
          </w:p>
        </w:tc>
        <w:tc>
          <w:tcPr>
            <w:tcW w:w="1540" w:type="dxa"/>
            <w:tcBorders>
              <w:top w:val="nil"/>
              <w:left w:val="nil"/>
              <w:bottom w:val="single" w:sz="4" w:space="0" w:color="auto"/>
              <w:right w:val="single" w:sz="4" w:space="0" w:color="auto"/>
            </w:tcBorders>
            <w:shd w:val="clear" w:color="auto" w:fill="auto"/>
            <w:vAlign w:val="center"/>
            <w:hideMark/>
          </w:tcPr>
          <w:p w14:paraId="4A791396"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0.341 </w:t>
            </w:r>
          </w:p>
        </w:tc>
        <w:tc>
          <w:tcPr>
            <w:tcW w:w="1540" w:type="dxa"/>
            <w:tcBorders>
              <w:top w:val="nil"/>
              <w:left w:val="nil"/>
              <w:bottom w:val="single" w:sz="4" w:space="0" w:color="auto"/>
              <w:right w:val="single" w:sz="4" w:space="0" w:color="auto"/>
            </w:tcBorders>
            <w:shd w:val="clear" w:color="auto" w:fill="auto"/>
            <w:noWrap/>
            <w:vAlign w:val="center"/>
            <w:hideMark/>
          </w:tcPr>
          <w:p w14:paraId="21F13EB5"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0.426 </w:t>
            </w:r>
          </w:p>
        </w:tc>
        <w:tc>
          <w:tcPr>
            <w:tcW w:w="1540" w:type="dxa"/>
            <w:tcBorders>
              <w:top w:val="nil"/>
              <w:left w:val="nil"/>
              <w:bottom w:val="single" w:sz="4" w:space="0" w:color="auto"/>
              <w:right w:val="single" w:sz="4" w:space="0" w:color="auto"/>
            </w:tcBorders>
            <w:shd w:val="clear" w:color="auto" w:fill="auto"/>
            <w:noWrap/>
            <w:vAlign w:val="center"/>
            <w:hideMark/>
          </w:tcPr>
          <w:p w14:paraId="3EFF57BB"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48,613</w:t>
            </w:r>
          </w:p>
        </w:tc>
      </w:tr>
      <w:tr w:rsidR="00315701" w:rsidRPr="00C63A39" w14:paraId="0D4AABEC"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DB6E562" w14:textId="77777777" w:rsidR="00315701" w:rsidRPr="00C63A39" w:rsidRDefault="00315701" w:rsidP="00315701">
            <w:pPr>
              <w:rPr>
                <w:color w:val="000000"/>
                <w:kern w:val="22"/>
                <w:szCs w:val="22"/>
                <w:lang w:val="fr-FR" w:eastAsia="en-CA"/>
              </w:rPr>
            </w:pPr>
            <w:r w:rsidRPr="00C63A39">
              <w:rPr>
                <w:color w:val="000000"/>
                <w:kern w:val="22"/>
                <w:szCs w:val="22"/>
                <w:lang w:val="fr-FR" w:eastAsia="en-CA"/>
              </w:rPr>
              <w:t>Maldives</w:t>
            </w:r>
          </w:p>
        </w:tc>
        <w:tc>
          <w:tcPr>
            <w:tcW w:w="1540" w:type="dxa"/>
            <w:tcBorders>
              <w:top w:val="nil"/>
              <w:left w:val="nil"/>
              <w:bottom w:val="single" w:sz="4" w:space="0" w:color="auto"/>
              <w:right w:val="single" w:sz="4" w:space="0" w:color="auto"/>
            </w:tcBorders>
            <w:shd w:val="clear" w:color="auto" w:fill="auto"/>
            <w:vAlign w:val="center"/>
            <w:hideMark/>
          </w:tcPr>
          <w:p w14:paraId="1C8ACDB3"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1402117D"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14:paraId="2E65AA80"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570</w:t>
            </w:r>
          </w:p>
        </w:tc>
      </w:tr>
      <w:tr w:rsidR="00315701" w:rsidRPr="00C63A39" w14:paraId="64250F88"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4B231CA" w14:textId="77777777" w:rsidR="00315701" w:rsidRPr="00C63A39" w:rsidRDefault="00315701" w:rsidP="00315701">
            <w:pPr>
              <w:rPr>
                <w:color w:val="000000"/>
                <w:kern w:val="22"/>
                <w:szCs w:val="22"/>
                <w:lang w:val="fr-FR" w:eastAsia="en-CA"/>
              </w:rPr>
            </w:pPr>
            <w:r w:rsidRPr="00C63A39">
              <w:rPr>
                <w:color w:val="000000"/>
                <w:kern w:val="22"/>
                <w:szCs w:val="22"/>
                <w:lang w:val="fr-FR" w:eastAsia="en-CA"/>
              </w:rPr>
              <w:t>Mali</w:t>
            </w:r>
          </w:p>
        </w:tc>
        <w:tc>
          <w:tcPr>
            <w:tcW w:w="1540" w:type="dxa"/>
            <w:tcBorders>
              <w:top w:val="nil"/>
              <w:left w:val="nil"/>
              <w:bottom w:val="single" w:sz="4" w:space="0" w:color="auto"/>
              <w:right w:val="single" w:sz="4" w:space="0" w:color="auto"/>
            </w:tcBorders>
            <w:shd w:val="clear" w:color="auto" w:fill="auto"/>
            <w:vAlign w:val="center"/>
            <w:hideMark/>
          </w:tcPr>
          <w:p w14:paraId="432CB693"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2564F4FA"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14:paraId="2D16F0EA"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570</w:t>
            </w:r>
          </w:p>
        </w:tc>
      </w:tr>
      <w:tr w:rsidR="00315701" w:rsidRPr="00C63A39" w14:paraId="542688CF"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CD1BC07" w14:textId="5B6C3CA7" w:rsidR="00315701" w:rsidRPr="00C63A39" w:rsidRDefault="00315701" w:rsidP="00315701">
            <w:pPr>
              <w:rPr>
                <w:color w:val="000000"/>
                <w:kern w:val="22"/>
                <w:szCs w:val="22"/>
                <w:lang w:val="fr-FR" w:eastAsia="en-CA"/>
              </w:rPr>
            </w:pPr>
            <w:r w:rsidRPr="00C63A39">
              <w:rPr>
                <w:color w:val="000000"/>
                <w:kern w:val="22"/>
                <w:szCs w:val="22"/>
                <w:lang w:val="fr-FR" w:eastAsia="en-CA"/>
              </w:rPr>
              <w:t>Malt</w:t>
            </w:r>
            <w:r w:rsidR="002E4E90" w:rsidRPr="00C63A39">
              <w:rPr>
                <w:color w:val="000000"/>
                <w:kern w:val="22"/>
                <w:szCs w:val="22"/>
                <w:lang w:val="fr-FR" w:eastAsia="en-CA"/>
              </w:rPr>
              <w:t>e</w:t>
            </w:r>
          </w:p>
        </w:tc>
        <w:tc>
          <w:tcPr>
            <w:tcW w:w="1540" w:type="dxa"/>
            <w:tcBorders>
              <w:top w:val="nil"/>
              <w:left w:val="nil"/>
              <w:bottom w:val="single" w:sz="4" w:space="0" w:color="auto"/>
              <w:right w:val="single" w:sz="4" w:space="0" w:color="auto"/>
            </w:tcBorders>
            <w:shd w:val="clear" w:color="auto" w:fill="auto"/>
            <w:vAlign w:val="center"/>
            <w:hideMark/>
          </w:tcPr>
          <w:p w14:paraId="152760C4"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0.017 </w:t>
            </w:r>
          </w:p>
        </w:tc>
        <w:tc>
          <w:tcPr>
            <w:tcW w:w="1540" w:type="dxa"/>
            <w:tcBorders>
              <w:top w:val="nil"/>
              <w:left w:val="nil"/>
              <w:bottom w:val="single" w:sz="4" w:space="0" w:color="auto"/>
              <w:right w:val="single" w:sz="4" w:space="0" w:color="auto"/>
            </w:tcBorders>
            <w:shd w:val="clear" w:color="auto" w:fill="auto"/>
            <w:noWrap/>
            <w:vAlign w:val="center"/>
            <w:hideMark/>
          </w:tcPr>
          <w:p w14:paraId="22B7FB5F"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0.021 </w:t>
            </w:r>
          </w:p>
        </w:tc>
        <w:tc>
          <w:tcPr>
            <w:tcW w:w="1540" w:type="dxa"/>
            <w:tcBorders>
              <w:top w:val="nil"/>
              <w:left w:val="nil"/>
              <w:bottom w:val="single" w:sz="4" w:space="0" w:color="auto"/>
              <w:right w:val="single" w:sz="4" w:space="0" w:color="auto"/>
            </w:tcBorders>
            <w:shd w:val="clear" w:color="auto" w:fill="auto"/>
            <w:noWrap/>
            <w:vAlign w:val="center"/>
            <w:hideMark/>
          </w:tcPr>
          <w:p w14:paraId="07333FE3"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2,424</w:t>
            </w:r>
          </w:p>
        </w:tc>
      </w:tr>
      <w:tr w:rsidR="00315701" w:rsidRPr="00C63A39" w14:paraId="2F0AE281"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55B4084" w14:textId="65B873C4" w:rsidR="00315701" w:rsidRPr="00C63A39" w:rsidRDefault="00A1628A" w:rsidP="00315701">
            <w:pPr>
              <w:rPr>
                <w:color w:val="000000"/>
                <w:kern w:val="22"/>
                <w:szCs w:val="22"/>
                <w:lang w:val="fr-FR" w:eastAsia="en-CA"/>
              </w:rPr>
            </w:pPr>
            <w:r w:rsidRPr="00C63A39">
              <w:rPr>
                <w:color w:val="000000"/>
                <w:kern w:val="22"/>
                <w:szCs w:val="22"/>
                <w:lang w:val="fr-FR" w:eastAsia="en-CA"/>
              </w:rPr>
              <w:t>Îles</w:t>
            </w:r>
            <w:r w:rsidR="002E4E90" w:rsidRPr="00C63A39">
              <w:rPr>
                <w:color w:val="000000"/>
                <w:kern w:val="22"/>
                <w:szCs w:val="22"/>
                <w:lang w:val="fr-FR" w:eastAsia="en-CA"/>
              </w:rPr>
              <w:t xml:space="preserve"> Marshall</w:t>
            </w:r>
          </w:p>
        </w:tc>
        <w:tc>
          <w:tcPr>
            <w:tcW w:w="1540" w:type="dxa"/>
            <w:tcBorders>
              <w:top w:val="nil"/>
              <w:left w:val="nil"/>
              <w:bottom w:val="single" w:sz="4" w:space="0" w:color="auto"/>
              <w:right w:val="single" w:sz="4" w:space="0" w:color="auto"/>
            </w:tcBorders>
            <w:shd w:val="clear" w:color="auto" w:fill="auto"/>
            <w:vAlign w:val="center"/>
            <w:hideMark/>
          </w:tcPr>
          <w:p w14:paraId="78C7078E"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0679B93E"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06C42D4F"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143</w:t>
            </w:r>
          </w:p>
        </w:tc>
      </w:tr>
      <w:tr w:rsidR="00315701" w:rsidRPr="00C63A39" w14:paraId="3342F7A8"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FA0282F" w14:textId="7EC686E4" w:rsidR="00315701" w:rsidRPr="00C63A39" w:rsidRDefault="00315701" w:rsidP="00315701">
            <w:pPr>
              <w:rPr>
                <w:color w:val="000000"/>
                <w:kern w:val="22"/>
                <w:szCs w:val="22"/>
                <w:lang w:val="fr-FR" w:eastAsia="en-CA"/>
              </w:rPr>
            </w:pPr>
            <w:r w:rsidRPr="00C63A39">
              <w:rPr>
                <w:color w:val="000000"/>
                <w:kern w:val="22"/>
                <w:szCs w:val="22"/>
                <w:lang w:val="fr-FR" w:eastAsia="en-CA"/>
              </w:rPr>
              <w:t>Mauritani</w:t>
            </w:r>
            <w:r w:rsidR="002E4E90" w:rsidRPr="00C63A39">
              <w:rPr>
                <w:color w:val="000000"/>
                <w:kern w:val="22"/>
                <w:szCs w:val="22"/>
                <w:lang w:val="fr-FR" w:eastAsia="en-CA"/>
              </w:rPr>
              <w:t>e</w:t>
            </w:r>
          </w:p>
        </w:tc>
        <w:tc>
          <w:tcPr>
            <w:tcW w:w="1540" w:type="dxa"/>
            <w:tcBorders>
              <w:top w:val="nil"/>
              <w:left w:val="nil"/>
              <w:bottom w:val="single" w:sz="4" w:space="0" w:color="auto"/>
              <w:right w:val="single" w:sz="4" w:space="0" w:color="auto"/>
            </w:tcBorders>
            <w:shd w:val="clear" w:color="auto" w:fill="auto"/>
            <w:vAlign w:val="center"/>
            <w:hideMark/>
          </w:tcPr>
          <w:p w14:paraId="4E326B30"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7F4701A7"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62174F1D"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285</w:t>
            </w:r>
          </w:p>
        </w:tc>
      </w:tr>
      <w:tr w:rsidR="00315701" w:rsidRPr="00C63A39" w14:paraId="3B74940D"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B23C5FE" w14:textId="0DC6D1EE" w:rsidR="00315701" w:rsidRPr="00C63A39" w:rsidRDefault="002E4E90" w:rsidP="00315701">
            <w:pPr>
              <w:rPr>
                <w:color w:val="000000"/>
                <w:kern w:val="22"/>
                <w:szCs w:val="22"/>
                <w:lang w:val="fr-FR" w:eastAsia="en-CA"/>
              </w:rPr>
            </w:pPr>
            <w:r w:rsidRPr="00C63A39">
              <w:rPr>
                <w:color w:val="000000"/>
                <w:kern w:val="22"/>
                <w:szCs w:val="22"/>
                <w:lang w:val="fr-FR" w:eastAsia="en-CA"/>
              </w:rPr>
              <w:t xml:space="preserve">Maurice </w:t>
            </w:r>
          </w:p>
        </w:tc>
        <w:tc>
          <w:tcPr>
            <w:tcW w:w="1540" w:type="dxa"/>
            <w:tcBorders>
              <w:top w:val="nil"/>
              <w:left w:val="nil"/>
              <w:bottom w:val="single" w:sz="4" w:space="0" w:color="auto"/>
              <w:right w:val="single" w:sz="4" w:space="0" w:color="auto"/>
            </w:tcBorders>
            <w:shd w:val="clear" w:color="auto" w:fill="auto"/>
            <w:vAlign w:val="center"/>
            <w:hideMark/>
          </w:tcPr>
          <w:p w14:paraId="166F7293"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0.011 </w:t>
            </w:r>
          </w:p>
        </w:tc>
        <w:tc>
          <w:tcPr>
            <w:tcW w:w="1540" w:type="dxa"/>
            <w:tcBorders>
              <w:top w:val="nil"/>
              <w:left w:val="nil"/>
              <w:bottom w:val="single" w:sz="4" w:space="0" w:color="auto"/>
              <w:right w:val="single" w:sz="4" w:space="0" w:color="auto"/>
            </w:tcBorders>
            <w:shd w:val="clear" w:color="auto" w:fill="auto"/>
            <w:noWrap/>
            <w:vAlign w:val="center"/>
            <w:hideMark/>
          </w:tcPr>
          <w:p w14:paraId="4C8B27F3"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0.014 </w:t>
            </w:r>
          </w:p>
        </w:tc>
        <w:tc>
          <w:tcPr>
            <w:tcW w:w="1540" w:type="dxa"/>
            <w:tcBorders>
              <w:top w:val="nil"/>
              <w:left w:val="nil"/>
              <w:bottom w:val="single" w:sz="4" w:space="0" w:color="auto"/>
              <w:right w:val="single" w:sz="4" w:space="0" w:color="auto"/>
            </w:tcBorders>
            <w:shd w:val="clear" w:color="auto" w:fill="auto"/>
            <w:noWrap/>
            <w:vAlign w:val="center"/>
            <w:hideMark/>
          </w:tcPr>
          <w:p w14:paraId="1188781C"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1,568</w:t>
            </w:r>
          </w:p>
        </w:tc>
      </w:tr>
    </w:tbl>
    <w:p w14:paraId="1425A409" w14:textId="1430CD03" w:rsidR="00315701" w:rsidRPr="00C63A39" w:rsidRDefault="00315701" w:rsidP="0079737F">
      <w:pPr>
        <w:autoSpaceDE w:val="0"/>
        <w:autoSpaceDN w:val="0"/>
        <w:adjustRightInd w:val="0"/>
        <w:rPr>
          <w:rFonts w:eastAsiaTheme="minorEastAsia"/>
          <w:bCs/>
          <w:kern w:val="22"/>
          <w:szCs w:val="22"/>
        </w:rPr>
      </w:pPr>
    </w:p>
    <w:p w14:paraId="2F359813" w14:textId="77777777" w:rsidR="00315701" w:rsidRPr="00C63A39" w:rsidRDefault="00315701">
      <w:pPr>
        <w:spacing w:after="160" w:line="259" w:lineRule="auto"/>
        <w:rPr>
          <w:rFonts w:eastAsiaTheme="minorEastAsia"/>
          <w:bCs/>
          <w:kern w:val="22"/>
          <w:szCs w:val="22"/>
        </w:rPr>
      </w:pPr>
      <w:r w:rsidRPr="00C63A39">
        <w:rPr>
          <w:rFonts w:eastAsiaTheme="minorEastAsia"/>
          <w:bCs/>
          <w:kern w:val="22"/>
          <w:szCs w:val="22"/>
        </w:rPr>
        <w:br w:type="page"/>
      </w:r>
    </w:p>
    <w:tbl>
      <w:tblPr>
        <w:tblW w:w="9420" w:type="dxa"/>
        <w:tblLook w:val="04A0" w:firstRow="1" w:lastRow="0" w:firstColumn="1" w:lastColumn="0" w:noHBand="0" w:noVBand="1"/>
      </w:tblPr>
      <w:tblGrid>
        <w:gridCol w:w="4800"/>
        <w:gridCol w:w="1540"/>
        <w:gridCol w:w="1540"/>
        <w:gridCol w:w="1540"/>
      </w:tblGrid>
      <w:tr w:rsidR="005F7E95" w:rsidRPr="00C63A39" w14:paraId="0A729A68" w14:textId="77777777" w:rsidTr="00315701">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5BB6D3" w14:textId="59440CC4" w:rsidR="005F7E95" w:rsidRPr="00C63A39" w:rsidRDefault="005F7E95" w:rsidP="005F7E95">
            <w:pPr>
              <w:jc w:val="center"/>
              <w:rPr>
                <w:b/>
                <w:bCs/>
                <w:kern w:val="22"/>
                <w:szCs w:val="22"/>
                <w:lang w:eastAsia="en-CA"/>
              </w:rPr>
            </w:pPr>
            <w:r w:rsidRPr="00C63A39">
              <w:rPr>
                <w:b/>
                <w:bCs/>
                <w:kern w:val="22"/>
                <w:szCs w:val="22"/>
                <w:lang w:val="fr-FR" w:eastAsia="en-CA"/>
              </w:rPr>
              <w:lastRenderedPageBreak/>
              <w:t>Partie</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58817260" w14:textId="04D6FC2A" w:rsidR="005F7E95" w:rsidRPr="00C63A39" w:rsidRDefault="005F7E95" w:rsidP="005F7E95">
            <w:pPr>
              <w:jc w:val="center"/>
              <w:rPr>
                <w:b/>
                <w:bCs/>
                <w:color w:val="000000"/>
                <w:kern w:val="22"/>
                <w:szCs w:val="22"/>
                <w:lang w:eastAsia="en-CA"/>
              </w:rPr>
            </w:pPr>
            <w:r w:rsidRPr="00C63A39">
              <w:rPr>
                <w:b/>
                <w:bCs/>
                <w:color w:val="000000"/>
                <w:kern w:val="22"/>
                <w:szCs w:val="22"/>
                <w:lang w:val="fr-FR" w:eastAsia="en-CA"/>
              </w:rPr>
              <w:t xml:space="preserve">Barème des quotes-parts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790DAFC7" w14:textId="4AF74757" w:rsidR="005F7E95" w:rsidRPr="006E23F0" w:rsidRDefault="005F7E95" w:rsidP="005F7E95">
            <w:pPr>
              <w:jc w:val="center"/>
              <w:rPr>
                <w:b/>
                <w:bCs/>
                <w:color w:val="000000"/>
                <w:kern w:val="22"/>
                <w:szCs w:val="22"/>
                <w:lang w:val="fr-CA" w:eastAsia="en-CA"/>
              </w:rPr>
            </w:pPr>
            <w:r w:rsidRPr="00C63A39">
              <w:rPr>
                <w:b/>
                <w:bCs/>
                <w:color w:val="000000"/>
                <w:kern w:val="22"/>
                <w:szCs w:val="22"/>
                <w:lang w:val="fr-FR" w:eastAsia="en-CA"/>
              </w:rPr>
              <w:t>Barème assorti d’un plafond de 22% ; aucun PMA ne paie plus de 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1D1D5C82" w14:textId="1697FAD4" w:rsidR="005F7E95" w:rsidRPr="00C63A39" w:rsidRDefault="005F7E95" w:rsidP="005F7E95">
            <w:pPr>
              <w:jc w:val="center"/>
              <w:rPr>
                <w:b/>
                <w:bCs/>
                <w:color w:val="000000"/>
                <w:kern w:val="22"/>
                <w:szCs w:val="22"/>
                <w:lang w:eastAsia="en-CA"/>
              </w:rPr>
            </w:pPr>
            <w:r w:rsidRPr="00C63A39">
              <w:rPr>
                <w:b/>
                <w:bCs/>
                <w:color w:val="000000"/>
                <w:kern w:val="22"/>
                <w:szCs w:val="22"/>
                <w:lang w:val="fr-FR" w:eastAsia="en-CA"/>
              </w:rPr>
              <w:t>Contributions au 1er janvier 2020</w:t>
            </w:r>
          </w:p>
        </w:tc>
      </w:tr>
      <w:tr w:rsidR="00315701" w:rsidRPr="00C63A39" w14:paraId="6BD05218"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99A3D94" w14:textId="2118C0CA" w:rsidR="00315701" w:rsidRPr="00C63A39" w:rsidRDefault="00315701" w:rsidP="00315701">
            <w:pPr>
              <w:rPr>
                <w:color w:val="000000"/>
                <w:kern w:val="22"/>
                <w:szCs w:val="22"/>
                <w:lang w:val="fr-FR" w:eastAsia="en-CA"/>
              </w:rPr>
            </w:pPr>
            <w:r w:rsidRPr="00C63A39">
              <w:rPr>
                <w:color w:val="000000"/>
                <w:kern w:val="22"/>
                <w:szCs w:val="22"/>
                <w:lang w:val="fr-FR" w:eastAsia="en-CA"/>
              </w:rPr>
              <w:t>Me</w:t>
            </w:r>
            <w:r w:rsidR="00666925" w:rsidRPr="00C63A39">
              <w:rPr>
                <w:color w:val="000000"/>
                <w:kern w:val="22"/>
                <w:szCs w:val="22"/>
                <w:lang w:val="fr-FR" w:eastAsia="en-CA"/>
              </w:rPr>
              <w:t>xi</w:t>
            </w:r>
            <w:r w:rsidR="0032335C" w:rsidRPr="00C63A39">
              <w:rPr>
                <w:color w:val="000000"/>
                <w:kern w:val="22"/>
                <w:szCs w:val="22"/>
                <w:lang w:val="fr-FR" w:eastAsia="en-CA"/>
              </w:rPr>
              <w:t>que</w:t>
            </w:r>
          </w:p>
        </w:tc>
        <w:tc>
          <w:tcPr>
            <w:tcW w:w="1540" w:type="dxa"/>
            <w:tcBorders>
              <w:top w:val="nil"/>
              <w:left w:val="nil"/>
              <w:bottom w:val="single" w:sz="4" w:space="0" w:color="auto"/>
              <w:right w:val="single" w:sz="4" w:space="0" w:color="auto"/>
            </w:tcBorders>
            <w:shd w:val="clear" w:color="auto" w:fill="auto"/>
            <w:vAlign w:val="center"/>
            <w:hideMark/>
          </w:tcPr>
          <w:p w14:paraId="5D3940A3"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1.292 </w:t>
            </w:r>
          </w:p>
        </w:tc>
        <w:tc>
          <w:tcPr>
            <w:tcW w:w="1540" w:type="dxa"/>
            <w:tcBorders>
              <w:top w:val="nil"/>
              <w:left w:val="nil"/>
              <w:bottom w:val="single" w:sz="4" w:space="0" w:color="auto"/>
              <w:right w:val="single" w:sz="4" w:space="0" w:color="auto"/>
            </w:tcBorders>
            <w:shd w:val="clear" w:color="auto" w:fill="auto"/>
            <w:noWrap/>
            <w:vAlign w:val="center"/>
            <w:hideMark/>
          </w:tcPr>
          <w:p w14:paraId="7871A04D"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1.615 </w:t>
            </w:r>
          </w:p>
        </w:tc>
        <w:tc>
          <w:tcPr>
            <w:tcW w:w="1540" w:type="dxa"/>
            <w:tcBorders>
              <w:top w:val="nil"/>
              <w:left w:val="nil"/>
              <w:bottom w:val="single" w:sz="4" w:space="0" w:color="auto"/>
              <w:right w:val="single" w:sz="4" w:space="0" w:color="auto"/>
            </w:tcBorders>
            <w:shd w:val="clear" w:color="auto" w:fill="auto"/>
            <w:noWrap/>
            <w:vAlign w:val="center"/>
            <w:hideMark/>
          </w:tcPr>
          <w:p w14:paraId="3A1FAA2D"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184,187</w:t>
            </w:r>
          </w:p>
        </w:tc>
      </w:tr>
      <w:tr w:rsidR="00315701" w:rsidRPr="00C63A39" w14:paraId="278F30F5"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1EA4314" w14:textId="3A4D7BE2" w:rsidR="00315701" w:rsidRPr="00C63A39" w:rsidRDefault="00666925" w:rsidP="00315701">
            <w:pPr>
              <w:rPr>
                <w:color w:val="000000"/>
                <w:kern w:val="22"/>
                <w:szCs w:val="22"/>
                <w:lang w:val="fr-FR" w:eastAsia="en-CA"/>
              </w:rPr>
            </w:pPr>
            <w:r w:rsidRPr="00C63A39">
              <w:rPr>
                <w:color w:val="000000"/>
                <w:kern w:val="22"/>
                <w:szCs w:val="22"/>
                <w:lang w:val="fr-FR" w:eastAsia="en-CA"/>
              </w:rPr>
              <w:t>Micronésie (États fédérés de)</w:t>
            </w:r>
          </w:p>
        </w:tc>
        <w:tc>
          <w:tcPr>
            <w:tcW w:w="1540" w:type="dxa"/>
            <w:tcBorders>
              <w:top w:val="nil"/>
              <w:left w:val="nil"/>
              <w:bottom w:val="single" w:sz="4" w:space="0" w:color="auto"/>
              <w:right w:val="single" w:sz="4" w:space="0" w:color="auto"/>
            </w:tcBorders>
            <w:shd w:val="clear" w:color="auto" w:fill="auto"/>
            <w:vAlign w:val="center"/>
            <w:hideMark/>
          </w:tcPr>
          <w:p w14:paraId="031C2086"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69186861"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686937D1"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143</w:t>
            </w:r>
          </w:p>
        </w:tc>
      </w:tr>
      <w:tr w:rsidR="00315701" w:rsidRPr="00C63A39" w14:paraId="30E653BC"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B55ED4A" w14:textId="2737D3EA" w:rsidR="00315701" w:rsidRPr="00C63A39" w:rsidRDefault="00315701" w:rsidP="00315701">
            <w:pPr>
              <w:rPr>
                <w:color w:val="000000"/>
                <w:kern w:val="22"/>
                <w:szCs w:val="22"/>
                <w:lang w:val="fr-FR" w:eastAsia="en-CA"/>
              </w:rPr>
            </w:pPr>
            <w:r w:rsidRPr="00C63A39">
              <w:rPr>
                <w:color w:val="000000"/>
                <w:kern w:val="22"/>
                <w:szCs w:val="22"/>
                <w:lang w:val="fr-FR" w:eastAsia="en-CA"/>
              </w:rPr>
              <w:t>Monac</w:t>
            </w:r>
            <w:r w:rsidR="00666925" w:rsidRPr="00C63A39">
              <w:rPr>
                <w:color w:val="000000"/>
                <w:kern w:val="22"/>
                <w:szCs w:val="22"/>
                <w:lang w:val="fr-FR" w:eastAsia="en-CA"/>
              </w:rPr>
              <w:t>o</w:t>
            </w:r>
          </w:p>
        </w:tc>
        <w:tc>
          <w:tcPr>
            <w:tcW w:w="1540" w:type="dxa"/>
            <w:tcBorders>
              <w:top w:val="nil"/>
              <w:left w:val="nil"/>
              <w:bottom w:val="single" w:sz="4" w:space="0" w:color="auto"/>
              <w:right w:val="single" w:sz="4" w:space="0" w:color="auto"/>
            </w:tcBorders>
            <w:shd w:val="clear" w:color="auto" w:fill="auto"/>
            <w:vAlign w:val="center"/>
            <w:hideMark/>
          </w:tcPr>
          <w:p w14:paraId="6A7CF1E4"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0.011 </w:t>
            </w:r>
          </w:p>
        </w:tc>
        <w:tc>
          <w:tcPr>
            <w:tcW w:w="1540" w:type="dxa"/>
            <w:tcBorders>
              <w:top w:val="nil"/>
              <w:left w:val="nil"/>
              <w:bottom w:val="single" w:sz="4" w:space="0" w:color="auto"/>
              <w:right w:val="single" w:sz="4" w:space="0" w:color="auto"/>
            </w:tcBorders>
            <w:shd w:val="clear" w:color="auto" w:fill="auto"/>
            <w:noWrap/>
            <w:vAlign w:val="center"/>
            <w:hideMark/>
          </w:tcPr>
          <w:p w14:paraId="5658B901"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0.014 </w:t>
            </w:r>
          </w:p>
        </w:tc>
        <w:tc>
          <w:tcPr>
            <w:tcW w:w="1540" w:type="dxa"/>
            <w:tcBorders>
              <w:top w:val="nil"/>
              <w:left w:val="nil"/>
              <w:bottom w:val="single" w:sz="4" w:space="0" w:color="auto"/>
              <w:right w:val="single" w:sz="4" w:space="0" w:color="auto"/>
            </w:tcBorders>
            <w:shd w:val="clear" w:color="auto" w:fill="auto"/>
            <w:noWrap/>
            <w:vAlign w:val="center"/>
            <w:hideMark/>
          </w:tcPr>
          <w:p w14:paraId="24BE3AE6"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1,568</w:t>
            </w:r>
          </w:p>
        </w:tc>
      </w:tr>
      <w:tr w:rsidR="00315701" w:rsidRPr="00C63A39" w14:paraId="6BD065EE"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F272665" w14:textId="0194C111" w:rsidR="00315701" w:rsidRPr="00C63A39" w:rsidRDefault="00315701" w:rsidP="00315701">
            <w:pPr>
              <w:rPr>
                <w:color w:val="000000"/>
                <w:kern w:val="22"/>
                <w:szCs w:val="22"/>
                <w:lang w:val="fr-FR" w:eastAsia="en-CA"/>
              </w:rPr>
            </w:pPr>
            <w:r w:rsidRPr="00C63A39">
              <w:rPr>
                <w:color w:val="000000"/>
                <w:kern w:val="22"/>
                <w:szCs w:val="22"/>
                <w:lang w:val="fr-FR" w:eastAsia="en-CA"/>
              </w:rPr>
              <w:t>Mongoli</w:t>
            </w:r>
            <w:r w:rsidR="00666925" w:rsidRPr="00C63A39">
              <w:rPr>
                <w:color w:val="000000"/>
                <w:kern w:val="22"/>
                <w:szCs w:val="22"/>
                <w:lang w:val="fr-FR" w:eastAsia="en-CA"/>
              </w:rPr>
              <w:t>e</w:t>
            </w:r>
          </w:p>
        </w:tc>
        <w:tc>
          <w:tcPr>
            <w:tcW w:w="1540" w:type="dxa"/>
            <w:tcBorders>
              <w:top w:val="nil"/>
              <w:left w:val="nil"/>
              <w:bottom w:val="single" w:sz="4" w:space="0" w:color="auto"/>
              <w:right w:val="single" w:sz="4" w:space="0" w:color="auto"/>
            </w:tcBorders>
            <w:shd w:val="clear" w:color="auto" w:fill="auto"/>
            <w:vAlign w:val="center"/>
            <w:hideMark/>
          </w:tcPr>
          <w:p w14:paraId="6BF8B506"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14:paraId="3F459A32"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14:paraId="6C39431B"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713</w:t>
            </w:r>
          </w:p>
        </w:tc>
      </w:tr>
      <w:tr w:rsidR="00315701" w:rsidRPr="00C63A39" w14:paraId="5D2A0313"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4E356DE" w14:textId="096EAE55" w:rsidR="00315701" w:rsidRPr="00C63A39" w:rsidRDefault="00315701" w:rsidP="00315701">
            <w:pPr>
              <w:rPr>
                <w:color w:val="000000"/>
                <w:kern w:val="22"/>
                <w:szCs w:val="22"/>
                <w:lang w:val="fr-FR" w:eastAsia="en-CA"/>
              </w:rPr>
            </w:pPr>
            <w:r w:rsidRPr="00C63A39">
              <w:rPr>
                <w:color w:val="000000"/>
                <w:kern w:val="22"/>
                <w:szCs w:val="22"/>
                <w:lang w:val="fr-FR" w:eastAsia="en-CA"/>
              </w:rPr>
              <w:t>Mont</w:t>
            </w:r>
            <w:r w:rsidR="00666925" w:rsidRPr="00C63A39">
              <w:rPr>
                <w:color w:val="000000"/>
                <w:kern w:val="22"/>
                <w:szCs w:val="22"/>
                <w:lang w:val="fr-FR" w:eastAsia="en-CA"/>
              </w:rPr>
              <w:t>énégro</w:t>
            </w:r>
          </w:p>
        </w:tc>
        <w:tc>
          <w:tcPr>
            <w:tcW w:w="1540" w:type="dxa"/>
            <w:tcBorders>
              <w:top w:val="nil"/>
              <w:left w:val="nil"/>
              <w:bottom w:val="single" w:sz="4" w:space="0" w:color="auto"/>
              <w:right w:val="single" w:sz="4" w:space="0" w:color="auto"/>
            </w:tcBorders>
            <w:shd w:val="clear" w:color="auto" w:fill="auto"/>
            <w:vAlign w:val="center"/>
            <w:hideMark/>
          </w:tcPr>
          <w:p w14:paraId="108862C9"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5B426E38"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14:paraId="1E8B32D6"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570</w:t>
            </w:r>
          </w:p>
        </w:tc>
      </w:tr>
      <w:tr w:rsidR="00315701" w:rsidRPr="00C63A39" w14:paraId="2AC6CE0F"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FC4C6BF" w14:textId="13CA04D4" w:rsidR="00315701" w:rsidRPr="00C63A39" w:rsidRDefault="00315701" w:rsidP="00315701">
            <w:pPr>
              <w:rPr>
                <w:color w:val="000000"/>
                <w:kern w:val="22"/>
                <w:szCs w:val="22"/>
                <w:lang w:val="fr-FR" w:eastAsia="en-CA"/>
              </w:rPr>
            </w:pPr>
            <w:r w:rsidRPr="00C63A39">
              <w:rPr>
                <w:color w:val="000000"/>
                <w:kern w:val="22"/>
                <w:szCs w:val="22"/>
                <w:lang w:val="fr-FR" w:eastAsia="en-CA"/>
              </w:rPr>
              <w:t>M</w:t>
            </w:r>
            <w:r w:rsidR="00666925" w:rsidRPr="00C63A39">
              <w:rPr>
                <w:color w:val="000000"/>
                <w:kern w:val="22"/>
                <w:szCs w:val="22"/>
                <w:lang w:val="fr-FR" w:eastAsia="en-CA"/>
              </w:rPr>
              <w:t>aroc</w:t>
            </w:r>
          </w:p>
        </w:tc>
        <w:tc>
          <w:tcPr>
            <w:tcW w:w="1540" w:type="dxa"/>
            <w:tcBorders>
              <w:top w:val="nil"/>
              <w:left w:val="nil"/>
              <w:bottom w:val="single" w:sz="4" w:space="0" w:color="auto"/>
              <w:right w:val="single" w:sz="4" w:space="0" w:color="auto"/>
            </w:tcBorders>
            <w:shd w:val="clear" w:color="auto" w:fill="auto"/>
            <w:vAlign w:val="center"/>
            <w:hideMark/>
          </w:tcPr>
          <w:p w14:paraId="2B0954DF"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0.055 </w:t>
            </w:r>
          </w:p>
        </w:tc>
        <w:tc>
          <w:tcPr>
            <w:tcW w:w="1540" w:type="dxa"/>
            <w:tcBorders>
              <w:top w:val="nil"/>
              <w:left w:val="nil"/>
              <w:bottom w:val="single" w:sz="4" w:space="0" w:color="auto"/>
              <w:right w:val="single" w:sz="4" w:space="0" w:color="auto"/>
            </w:tcBorders>
            <w:shd w:val="clear" w:color="auto" w:fill="auto"/>
            <w:noWrap/>
            <w:vAlign w:val="center"/>
            <w:hideMark/>
          </w:tcPr>
          <w:p w14:paraId="2009AD6E"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0.069 </w:t>
            </w:r>
          </w:p>
        </w:tc>
        <w:tc>
          <w:tcPr>
            <w:tcW w:w="1540" w:type="dxa"/>
            <w:tcBorders>
              <w:top w:val="nil"/>
              <w:left w:val="nil"/>
              <w:bottom w:val="single" w:sz="4" w:space="0" w:color="auto"/>
              <w:right w:val="single" w:sz="4" w:space="0" w:color="auto"/>
            </w:tcBorders>
            <w:shd w:val="clear" w:color="auto" w:fill="auto"/>
            <w:noWrap/>
            <w:vAlign w:val="center"/>
            <w:hideMark/>
          </w:tcPr>
          <w:p w14:paraId="2E4F1434"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7,841</w:t>
            </w:r>
          </w:p>
        </w:tc>
      </w:tr>
      <w:tr w:rsidR="00315701" w:rsidRPr="00C63A39" w14:paraId="064FB370"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7DBCDA6" w14:textId="77777777" w:rsidR="00315701" w:rsidRPr="00C63A39" w:rsidRDefault="00315701" w:rsidP="00315701">
            <w:pPr>
              <w:rPr>
                <w:color w:val="000000"/>
                <w:kern w:val="22"/>
                <w:szCs w:val="22"/>
                <w:lang w:val="fr-FR" w:eastAsia="en-CA"/>
              </w:rPr>
            </w:pPr>
            <w:r w:rsidRPr="00C63A39">
              <w:rPr>
                <w:color w:val="000000"/>
                <w:kern w:val="22"/>
                <w:szCs w:val="22"/>
                <w:lang w:val="fr-FR" w:eastAsia="en-CA"/>
              </w:rPr>
              <w:t>Mozambique</w:t>
            </w:r>
          </w:p>
        </w:tc>
        <w:tc>
          <w:tcPr>
            <w:tcW w:w="1540" w:type="dxa"/>
            <w:tcBorders>
              <w:top w:val="nil"/>
              <w:left w:val="nil"/>
              <w:bottom w:val="single" w:sz="4" w:space="0" w:color="auto"/>
              <w:right w:val="single" w:sz="4" w:space="0" w:color="auto"/>
            </w:tcBorders>
            <w:shd w:val="clear" w:color="auto" w:fill="auto"/>
            <w:vAlign w:val="center"/>
            <w:hideMark/>
          </w:tcPr>
          <w:p w14:paraId="366D159F"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11E35712"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14:paraId="59900D01"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570</w:t>
            </w:r>
          </w:p>
        </w:tc>
      </w:tr>
      <w:tr w:rsidR="00315701" w:rsidRPr="00C63A39" w14:paraId="0FC27A5A"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AA37B85" w14:textId="77777777" w:rsidR="00315701" w:rsidRPr="00C63A39" w:rsidRDefault="00315701" w:rsidP="00315701">
            <w:pPr>
              <w:rPr>
                <w:color w:val="000000"/>
                <w:kern w:val="22"/>
                <w:szCs w:val="22"/>
                <w:lang w:val="fr-FR" w:eastAsia="en-CA"/>
              </w:rPr>
            </w:pPr>
            <w:r w:rsidRPr="00C63A39">
              <w:rPr>
                <w:color w:val="000000"/>
                <w:kern w:val="22"/>
                <w:szCs w:val="22"/>
                <w:lang w:val="fr-FR" w:eastAsia="en-CA"/>
              </w:rPr>
              <w:t>Myanmar</w:t>
            </w:r>
          </w:p>
        </w:tc>
        <w:tc>
          <w:tcPr>
            <w:tcW w:w="1540" w:type="dxa"/>
            <w:tcBorders>
              <w:top w:val="nil"/>
              <w:left w:val="nil"/>
              <w:bottom w:val="single" w:sz="4" w:space="0" w:color="auto"/>
              <w:right w:val="single" w:sz="4" w:space="0" w:color="auto"/>
            </w:tcBorders>
            <w:shd w:val="clear" w:color="auto" w:fill="auto"/>
            <w:vAlign w:val="center"/>
            <w:hideMark/>
          </w:tcPr>
          <w:p w14:paraId="2CC6811F"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56545A00"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7D0DA6BC"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1,140</w:t>
            </w:r>
          </w:p>
        </w:tc>
      </w:tr>
      <w:tr w:rsidR="00315701" w:rsidRPr="00C63A39" w14:paraId="7F31AF35"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2DC9282" w14:textId="679780E9" w:rsidR="00315701" w:rsidRPr="00C63A39" w:rsidRDefault="00315701" w:rsidP="00315701">
            <w:pPr>
              <w:rPr>
                <w:color w:val="000000"/>
                <w:kern w:val="22"/>
                <w:szCs w:val="22"/>
                <w:lang w:val="fr-FR" w:eastAsia="en-CA"/>
              </w:rPr>
            </w:pPr>
            <w:r w:rsidRPr="00C63A39">
              <w:rPr>
                <w:color w:val="000000"/>
                <w:kern w:val="22"/>
                <w:szCs w:val="22"/>
                <w:lang w:val="fr-FR" w:eastAsia="en-CA"/>
              </w:rPr>
              <w:t>Namibi</w:t>
            </w:r>
            <w:r w:rsidR="00666925" w:rsidRPr="00C63A39">
              <w:rPr>
                <w:color w:val="000000"/>
                <w:kern w:val="22"/>
                <w:szCs w:val="22"/>
                <w:lang w:val="fr-FR" w:eastAsia="en-CA"/>
              </w:rPr>
              <w:t>e</w:t>
            </w:r>
          </w:p>
        </w:tc>
        <w:tc>
          <w:tcPr>
            <w:tcW w:w="1540" w:type="dxa"/>
            <w:tcBorders>
              <w:top w:val="nil"/>
              <w:left w:val="nil"/>
              <w:bottom w:val="single" w:sz="4" w:space="0" w:color="auto"/>
              <w:right w:val="single" w:sz="4" w:space="0" w:color="auto"/>
            </w:tcBorders>
            <w:shd w:val="clear" w:color="auto" w:fill="auto"/>
            <w:vAlign w:val="center"/>
            <w:hideMark/>
          </w:tcPr>
          <w:p w14:paraId="52ED4776"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14:paraId="73DB6995"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0.011 </w:t>
            </w:r>
          </w:p>
        </w:tc>
        <w:tc>
          <w:tcPr>
            <w:tcW w:w="1540" w:type="dxa"/>
            <w:tcBorders>
              <w:top w:val="nil"/>
              <w:left w:val="nil"/>
              <w:bottom w:val="single" w:sz="4" w:space="0" w:color="auto"/>
              <w:right w:val="single" w:sz="4" w:space="0" w:color="auto"/>
            </w:tcBorders>
            <w:shd w:val="clear" w:color="auto" w:fill="auto"/>
            <w:noWrap/>
            <w:vAlign w:val="center"/>
            <w:hideMark/>
          </w:tcPr>
          <w:p w14:paraId="436E72AA"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1,283</w:t>
            </w:r>
          </w:p>
        </w:tc>
      </w:tr>
      <w:tr w:rsidR="00315701" w:rsidRPr="00C63A39" w14:paraId="16894A05"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01B8116" w14:textId="77777777" w:rsidR="00315701" w:rsidRPr="00C63A39" w:rsidRDefault="00315701" w:rsidP="00315701">
            <w:pPr>
              <w:rPr>
                <w:color w:val="000000"/>
                <w:kern w:val="22"/>
                <w:szCs w:val="22"/>
                <w:lang w:val="fr-FR" w:eastAsia="en-CA"/>
              </w:rPr>
            </w:pPr>
            <w:r w:rsidRPr="00C63A39">
              <w:rPr>
                <w:color w:val="000000"/>
                <w:kern w:val="22"/>
                <w:szCs w:val="22"/>
                <w:lang w:val="fr-FR" w:eastAsia="en-CA"/>
              </w:rPr>
              <w:t>Nauru</w:t>
            </w:r>
          </w:p>
        </w:tc>
        <w:tc>
          <w:tcPr>
            <w:tcW w:w="1540" w:type="dxa"/>
            <w:tcBorders>
              <w:top w:val="nil"/>
              <w:left w:val="nil"/>
              <w:bottom w:val="single" w:sz="4" w:space="0" w:color="auto"/>
              <w:right w:val="single" w:sz="4" w:space="0" w:color="auto"/>
            </w:tcBorders>
            <w:shd w:val="clear" w:color="auto" w:fill="auto"/>
            <w:vAlign w:val="center"/>
            <w:hideMark/>
          </w:tcPr>
          <w:p w14:paraId="2A33F426"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262A1067"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36C3F48B"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143</w:t>
            </w:r>
          </w:p>
        </w:tc>
      </w:tr>
      <w:tr w:rsidR="00315701" w:rsidRPr="00C63A39" w14:paraId="7B115401"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BE96D45" w14:textId="4C870C82" w:rsidR="00315701" w:rsidRPr="00C63A39" w:rsidRDefault="00315701" w:rsidP="00315701">
            <w:pPr>
              <w:rPr>
                <w:color w:val="000000"/>
                <w:kern w:val="22"/>
                <w:szCs w:val="22"/>
                <w:lang w:val="fr-FR" w:eastAsia="en-CA"/>
              </w:rPr>
            </w:pPr>
            <w:r w:rsidRPr="00C63A39">
              <w:rPr>
                <w:color w:val="000000"/>
                <w:kern w:val="22"/>
                <w:szCs w:val="22"/>
                <w:lang w:val="fr-FR" w:eastAsia="en-CA"/>
              </w:rPr>
              <w:t>N</w:t>
            </w:r>
            <w:r w:rsidR="00666925" w:rsidRPr="00C63A39">
              <w:rPr>
                <w:color w:val="000000"/>
                <w:kern w:val="22"/>
                <w:szCs w:val="22"/>
                <w:lang w:val="fr-FR" w:eastAsia="en-CA"/>
              </w:rPr>
              <w:t>épal</w:t>
            </w:r>
          </w:p>
        </w:tc>
        <w:tc>
          <w:tcPr>
            <w:tcW w:w="1540" w:type="dxa"/>
            <w:tcBorders>
              <w:top w:val="nil"/>
              <w:left w:val="nil"/>
              <w:bottom w:val="single" w:sz="4" w:space="0" w:color="auto"/>
              <w:right w:val="single" w:sz="4" w:space="0" w:color="auto"/>
            </w:tcBorders>
            <w:shd w:val="clear" w:color="auto" w:fill="auto"/>
            <w:vAlign w:val="center"/>
            <w:hideMark/>
          </w:tcPr>
          <w:p w14:paraId="3511C689"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14:paraId="05FA40C7"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14:paraId="6C93BEF3"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998</w:t>
            </w:r>
          </w:p>
        </w:tc>
      </w:tr>
      <w:tr w:rsidR="00315701" w:rsidRPr="00C63A39" w14:paraId="5BDD01BD"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2D0A193" w14:textId="3E5AD2F0" w:rsidR="00315701" w:rsidRPr="00C63A39" w:rsidRDefault="00666925" w:rsidP="00315701">
            <w:pPr>
              <w:rPr>
                <w:color w:val="000000"/>
                <w:kern w:val="22"/>
                <w:szCs w:val="22"/>
                <w:lang w:val="fr-FR" w:eastAsia="en-CA"/>
              </w:rPr>
            </w:pPr>
            <w:r w:rsidRPr="00C63A39">
              <w:rPr>
                <w:color w:val="000000"/>
                <w:kern w:val="22"/>
                <w:szCs w:val="22"/>
                <w:lang w:val="fr-FR" w:eastAsia="en-CA"/>
              </w:rPr>
              <w:t>Pays-Bas</w:t>
            </w:r>
          </w:p>
        </w:tc>
        <w:tc>
          <w:tcPr>
            <w:tcW w:w="1540" w:type="dxa"/>
            <w:tcBorders>
              <w:top w:val="nil"/>
              <w:left w:val="nil"/>
              <w:bottom w:val="single" w:sz="4" w:space="0" w:color="auto"/>
              <w:right w:val="single" w:sz="4" w:space="0" w:color="auto"/>
            </w:tcBorders>
            <w:shd w:val="clear" w:color="auto" w:fill="auto"/>
            <w:vAlign w:val="center"/>
            <w:hideMark/>
          </w:tcPr>
          <w:p w14:paraId="78D35DF0"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1.356 </w:t>
            </w:r>
          </w:p>
        </w:tc>
        <w:tc>
          <w:tcPr>
            <w:tcW w:w="1540" w:type="dxa"/>
            <w:tcBorders>
              <w:top w:val="nil"/>
              <w:left w:val="nil"/>
              <w:bottom w:val="single" w:sz="4" w:space="0" w:color="auto"/>
              <w:right w:val="single" w:sz="4" w:space="0" w:color="auto"/>
            </w:tcBorders>
            <w:shd w:val="clear" w:color="auto" w:fill="auto"/>
            <w:noWrap/>
            <w:vAlign w:val="center"/>
            <w:hideMark/>
          </w:tcPr>
          <w:p w14:paraId="5FC7C2B6"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1.695 </w:t>
            </w:r>
          </w:p>
        </w:tc>
        <w:tc>
          <w:tcPr>
            <w:tcW w:w="1540" w:type="dxa"/>
            <w:tcBorders>
              <w:top w:val="nil"/>
              <w:left w:val="nil"/>
              <w:bottom w:val="single" w:sz="4" w:space="0" w:color="auto"/>
              <w:right w:val="single" w:sz="4" w:space="0" w:color="auto"/>
            </w:tcBorders>
            <w:shd w:val="clear" w:color="auto" w:fill="auto"/>
            <w:noWrap/>
            <w:vAlign w:val="center"/>
            <w:hideMark/>
          </w:tcPr>
          <w:p w14:paraId="0D85AA25"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193,310</w:t>
            </w:r>
          </w:p>
        </w:tc>
      </w:tr>
      <w:tr w:rsidR="00315701" w:rsidRPr="00C63A39" w14:paraId="1CC14289"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898A79F" w14:textId="193B7CF0" w:rsidR="00315701" w:rsidRPr="00C63A39" w:rsidRDefault="00666925" w:rsidP="00315701">
            <w:pPr>
              <w:rPr>
                <w:color w:val="000000"/>
                <w:kern w:val="22"/>
                <w:szCs w:val="22"/>
                <w:lang w:val="fr-FR" w:eastAsia="en-CA"/>
              </w:rPr>
            </w:pPr>
            <w:r w:rsidRPr="00C63A39">
              <w:rPr>
                <w:color w:val="000000"/>
                <w:kern w:val="22"/>
                <w:szCs w:val="22"/>
                <w:lang w:val="fr-FR" w:eastAsia="en-CA"/>
              </w:rPr>
              <w:t>Nouvelle-Zélande</w:t>
            </w:r>
          </w:p>
        </w:tc>
        <w:tc>
          <w:tcPr>
            <w:tcW w:w="1540" w:type="dxa"/>
            <w:tcBorders>
              <w:top w:val="nil"/>
              <w:left w:val="nil"/>
              <w:bottom w:val="single" w:sz="4" w:space="0" w:color="auto"/>
              <w:right w:val="single" w:sz="4" w:space="0" w:color="auto"/>
            </w:tcBorders>
            <w:shd w:val="clear" w:color="auto" w:fill="auto"/>
            <w:vAlign w:val="center"/>
            <w:hideMark/>
          </w:tcPr>
          <w:p w14:paraId="2363512F"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0.291 </w:t>
            </w:r>
          </w:p>
        </w:tc>
        <w:tc>
          <w:tcPr>
            <w:tcW w:w="1540" w:type="dxa"/>
            <w:tcBorders>
              <w:top w:val="nil"/>
              <w:left w:val="nil"/>
              <w:bottom w:val="single" w:sz="4" w:space="0" w:color="auto"/>
              <w:right w:val="single" w:sz="4" w:space="0" w:color="auto"/>
            </w:tcBorders>
            <w:shd w:val="clear" w:color="auto" w:fill="auto"/>
            <w:noWrap/>
            <w:vAlign w:val="center"/>
            <w:hideMark/>
          </w:tcPr>
          <w:p w14:paraId="342E4A6C"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0.364 </w:t>
            </w:r>
          </w:p>
        </w:tc>
        <w:tc>
          <w:tcPr>
            <w:tcW w:w="1540" w:type="dxa"/>
            <w:tcBorders>
              <w:top w:val="nil"/>
              <w:left w:val="nil"/>
              <w:bottom w:val="single" w:sz="4" w:space="0" w:color="auto"/>
              <w:right w:val="single" w:sz="4" w:space="0" w:color="auto"/>
            </w:tcBorders>
            <w:shd w:val="clear" w:color="auto" w:fill="auto"/>
            <w:noWrap/>
            <w:vAlign w:val="center"/>
            <w:hideMark/>
          </w:tcPr>
          <w:p w14:paraId="6EE9DC9C"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41,485</w:t>
            </w:r>
          </w:p>
        </w:tc>
      </w:tr>
      <w:tr w:rsidR="00315701" w:rsidRPr="00C63A39" w14:paraId="108566D0"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D2250F8" w14:textId="77777777" w:rsidR="00315701" w:rsidRPr="00C63A39" w:rsidRDefault="00315701" w:rsidP="00315701">
            <w:pPr>
              <w:rPr>
                <w:color w:val="000000"/>
                <w:kern w:val="22"/>
                <w:szCs w:val="22"/>
                <w:lang w:val="fr-FR" w:eastAsia="en-CA"/>
              </w:rPr>
            </w:pPr>
            <w:r w:rsidRPr="00C63A39">
              <w:rPr>
                <w:color w:val="000000"/>
                <w:kern w:val="22"/>
                <w:szCs w:val="22"/>
                <w:lang w:val="fr-FR" w:eastAsia="en-CA"/>
              </w:rPr>
              <w:t>Nicaragua</w:t>
            </w:r>
          </w:p>
        </w:tc>
        <w:tc>
          <w:tcPr>
            <w:tcW w:w="1540" w:type="dxa"/>
            <w:tcBorders>
              <w:top w:val="nil"/>
              <w:left w:val="nil"/>
              <w:bottom w:val="single" w:sz="4" w:space="0" w:color="auto"/>
              <w:right w:val="single" w:sz="4" w:space="0" w:color="auto"/>
            </w:tcBorders>
            <w:shd w:val="clear" w:color="auto" w:fill="auto"/>
            <w:vAlign w:val="center"/>
            <w:hideMark/>
          </w:tcPr>
          <w:p w14:paraId="688913B5"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14:paraId="6DC5E9E2"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14:paraId="5CAA68DA"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713</w:t>
            </w:r>
          </w:p>
        </w:tc>
      </w:tr>
      <w:tr w:rsidR="00315701" w:rsidRPr="00C63A39" w14:paraId="7BDECA26"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8C5F773" w14:textId="77777777" w:rsidR="00315701" w:rsidRPr="00C63A39" w:rsidRDefault="00315701" w:rsidP="00315701">
            <w:pPr>
              <w:rPr>
                <w:color w:val="000000"/>
                <w:kern w:val="22"/>
                <w:szCs w:val="22"/>
                <w:lang w:val="fr-FR" w:eastAsia="en-CA"/>
              </w:rPr>
            </w:pPr>
            <w:r w:rsidRPr="00C63A39">
              <w:rPr>
                <w:color w:val="000000"/>
                <w:kern w:val="22"/>
                <w:szCs w:val="22"/>
                <w:lang w:val="fr-FR" w:eastAsia="en-CA"/>
              </w:rPr>
              <w:t>Niger</w:t>
            </w:r>
          </w:p>
        </w:tc>
        <w:tc>
          <w:tcPr>
            <w:tcW w:w="1540" w:type="dxa"/>
            <w:tcBorders>
              <w:top w:val="nil"/>
              <w:left w:val="nil"/>
              <w:bottom w:val="single" w:sz="4" w:space="0" w:color="auto"/>
              <w:right w:val="single" w:sz="4" w:space="0" w:color="auto"/>
            </w:tcBorders>
            <w:shd w:val="clear" w:color="auto" w:fill="auto"/>
            <w:vAlign w:val="center"/>
            <w:hideMark/>
          </w:tcPr>
          <w:p w14:paraId="0DB2F855"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25ED8A88"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24E838FB"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285</w:t>
            </w:r>
          </w:p>
        </w:tc>
      </w:tr>
      <w:tr w:rsidR="00315701" w:rsidRPr="00C63A39" w14:paraId="081358D9"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CFE1342" w14:textId="77777777" w:rsidR="00315701" w:rsidRPr="00C63A39" w:rsidRDefault="00315701" w:rsidP="00315701">
            <w:pPr>
              <w:rPr>
                <w:color w:val="000000"/>
                <w:kern w:val="22"/>
                <w:szCs w:val="22"/>
                <w:lang w:val="fr-FR" w:eastAsia="en-CA"/>
              </w:rPr>
            </w:pPr>
            <w:r w:rsidRPr="00C63A39">
              <w:rPr>
                <w:color w:val="000000"/>
                <w:kern w:val="22"/>
                <w:szCs w:val="22"/>
                <w:lang w:val="fr-FR" w:eastAsia="en-CA"/>
              </w:rPr>
              <w:t>Nigeria</w:t>
            </w:r>
          </w:p>
        </w:tc>
        <w:tc>
          <w:tcPr>
            <w:tcW w:w="1540" w:type="dxa"/>
            <w:tcBorders>
              <w:top w:val="nil"/>
              <w:left w:val="nil"/>
              <w:bottom w:val="single" w:sz="4" w:space="0" w:color="auto"/>
              <w:right w:val="single" w:sz="4" w:space="0" w:color="auto"/>
            </w:tcBorders>
            <w:shd w:val="clear" w:color="auto" w:fill="auto"/>
            <w:vAlign w:val="center"/>
            <w:hideMark/>
          </w:tcPr>
          <w:p w14:paraId="2A35A3C5"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0.250 </w:t>
            </w:r>
          </w:p>
        </w:tc>
        <w:tc>
          <w:tcPr>
            <w:tcW w:w="1540" w:type="dxa"/>
            <w:tcBorders>
              <w:top w:val="nil"/>
              <w:left w:val="nil"/>
              <w:bottom w:val="single" w:sz="4" w:space="0" w:color="auto"/>
              <w:right w:val="single" w:sz="4" w:space="0" w:color="auto"/>
            </w:tcBorders>
            <w:shd w:val="clear" w:color="auto" w:fill="auto"/>
            <w:noWrap/>
            <w:vAlign w:val="center"/>
            <w:hideMark/>
          </w:tcPr>
          <w:p w14:paraId="66D87968"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0.313 </w:t>
            </w:r>
          </w:p>
        </w:tc>
        <w:tc>
          <w:tcPr>
            <w:tcW w:w="1540" w:type="dxa"/>
            <w:tcBorders>
              <w:top w:val="nil"/>
              <w:left w:val="nil"/>
              <w:bottom w:val="single" w:sz="4" w:space="0" w:color="auto"/>
              <w:right w:val="single" w:sz="4" w:space="0" w:color="auto"/>
            </w:tcBorders>
            <w:shd w:val="clear" w:color="auto" w:fill="auto"/>
            <w:noWrap/>
            <w:vAlign w:val="center"/>
            <w:hideMark/>
          </w:tcPr>
          <w:p w14:paraId="19B67781"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35,640</w:t>
            </w:r>
          </w:p>
        </w:tc>
      </w:tr>
      <w:tr w:rsidR="00315701" w:rsidRPr="00C63A39" w14:paraId="036F1292"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9442D29" w14:textId="21C4EA84" w:rsidR="006E1427" w:rsidRPr="00C63A39" w:rsidRDefault="00315701" w:rsidP="00315701">
            <w:pPr>
              <w:rPr>
                <w:color w:val="000000"/>
                <w:kern w:val="22"/>
                <w:szCs w:val="22"/>
                <w:lang w:val="fr-FR" w:eastAsia="en-CA"/>
              </w:rPr>
            </w:pPr>
            <w:r w:rsidRPr="00C63A39">
              <w:rPr>
                <w:color w:val="000000"/>
                <w:kern w:val="22"/>
                <w:szCs w:val="22"/>
                <w:lang w:val="fr-FR" w:eastAsia="en-CA"/>
              </w:rPr>
              <w:t>Niu</w:t>
            </w:r>
            <w:r w:rsidR="006E1427" w:rsidRPr="00C63A39">
              <w:rPr>
                <w:color w:val="000000"/>
                <w:kern w:val="22"/>
                <w:szCs w:val="22"/>
                <w:lang w:val="fr-FR" w:eastAsia="en-CA"/>
              </w:rPr>
              <w:t>é</w:t>
            </w:r>
          </w:p>
        </w:tc>
        <w:tc>
          <w:tcPr>
            <w:tcW w:w="1540" w:type="dxa"/>
            <w:tcBorders>
              <w:top w:val="nil"/>
              <w:left w:val="nil"/>
              <w:bottom w:val="single" w:sz="4" w:space="0" w:color="auto"/>
              <w:right w:val="single" w:sz="4" w:space="0" w:color="auto"/>
            </w:tcBorders>
            <w:shd w:val="clear" w:color="auto" w:fill="auto"/>
            <w:vAlign w:val="center"/>
            <w:hideMark/>
          </w:tcPr>
          <w:p w14:paraId="77855DCD"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526C6E7E"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24D7BCB4"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143</w:t>
            </w:r>
          </w:p>
        </w:tc>
      </w:tr>
      <w:tr w:rsidR="006E1427" w:rsidRPr="00C63A39" w14:paraId="71D472EC"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tcPr>
          <w:p w14:paraId="7E403492" w14:textId="10A1E391" w:rsidR="006E1427" w:rsidRPr="00C63A39" w:rsidRDefault="006E1427" w:rsidP="00315701">
            <w:pPr>
              <w:rPr>
                <w:color w:val="000000"/>
                <w:kern w:val="22"/>
                <w:szCs w:val="22"/>
                <w:lang w:val="fr-FR" w:eastAsia="en-CA"/>
              </w:rPr>
            </w:pPr>
            <w:r w:rsidRPr="00C63A39">
              <w:rPr>
                <w:color w:val="000000"/>
                <w:kern w:val="22"/>
                <w:szCs w:val="22"/>
                <w:lang w:val="fr-FR" w:eastAsia="en-CA"/>
              </w:rPr>
              <w:t>Macédoine du Nord</w:t>
            </w:r>
          </w:p>
        </w:tc>
        <w:tc>
          <w:tcPr>
            <w:tcW w:w="1540" w:type="dxa"/>
            <w:tcBorders>
              <w:top w:val="nil"/>
              <w:left w:val="nil"/>
              <w:bottom w:val="single" w:sz="4" w:space="0" w:color="auto"/>
              <w:right w:val="single" w:sz="4" w:space="0" w:color="auto"/>
            </w:tcBorders>
            <w:shd w:val="clear" w:color="auto" w:fill="auto"/>
            <w:vAlign w:val="center"/>
          </w:tcPr>
          <w:p w14:paraId="002DB30A" w14:textId="5FB8A8ED" w:rsidR="006E1427" w:rsidRPr="00C63A39" w:rsidRDefault="006E1427" w:rsidP="00315701">
            <w:pPr>
              <w:jc w:val="right"/>
              <w:rPr>
                <w:color w:val="000000"/>
                <w:kern w:val="22"/>
                <w:szCs w:val="22"/>
                <w:lang w:eastAsia="en-CA"/>
              </w:rPr>
            </w:pPr>
            <w:r w:rsidRPr="00C63A39">
              <w:rPr>
                <w:color w:val="000000"/>
                <w:kern w:val="22"/>
                <w:szCs w:val="22"/>
                <w:lang w:eastAsia="en-CA"/>
              </w:rPr>
              <w:t>0.007</w:t>
            </w:r>
          </w:p>
        </w:tc>
        <w:tc>
          <w:tcPr>
            <w:tcW w:w="1540" w:type="dxa"/>
            <w:tcBorders>
              <w:top w:val="nil"/>
              <w:left w:val="nil"/>
              <w:bottom w:val="single" w:sz="4" w:space="0" w:color="auto"/>
              <w:right w:val="single" w:sz="4" w:space="0" w:color="auto"/>
            </w:tcBorders>
            <w:shd w:val="clear" w:color="auto" w:fill="auto"/>
            <w:noWrap/>
            <w:vAlign w:val="center"/>
          </w:tcPr>
          <w:p w14:paraId="743A2C9E" w14:textId="43B17DA3" w:rsidR="006E1427" w:rsidRPr="00C63A39" w:rsidRDefault="006E1427" w:rsidP="00315701">
            <w:pPr>
              <w:jc w:val="right"/>
              <w:rPr>
                <w:color w:val="000000"/>
                <w:kern w:val="22"/>
                <w:szCs w:val="22"/>
                <w:lang w:eastAsia="en-CA"/>
              </w:rPr>
            </w:pPr>
            <w:r w:rsidRPr="00C63A39">
              <w:rPr>
                <w:color w:val="000000"/>
                <w:kern w:val="22"/>
                <w:szCs w:val="22"/>
                <w:lang w:eastAsia="en-CA"/>
              </w:rPr>
              <w:t>0.009</w:t>
            </w:r>
          </w:p>
        </w:tc>
        <w:tc>
          <w:tcPr>
            <w:tcW w:w="1540" w:type="dxa"/>
            <w:tcBorders>
              <w:top w:val="nil"/>
              <w:left w:val="nil"/>
              <w:bottom w:val="single" w:sz="4" w:space="0" w:color="auto"/>
              <w:right w:val="single" w:sz="4" w:space="0" w:color="auto"/>
            </w:tcBorders>
            <w:shd w:val="clear" w:color="auto" w:fill="auto"/>
            <w:noWrap/>
            <w:vAlign w:val="center"/>
          </w:tcPr>
          <w:p w14:paraId="76CEAD1F" w14:textId="11562721" w:rsidR="006E1427" w:rsidRPr="00C63A39" w:rsidRDefault="006E1427" w:rsidP="00315701">
            <w:pPr>
              <w:jc w:val="right"/>
              <w:rPr>
                <w:color w:val="000000"/>
                <w:kern w:val="22"/>
                <w:szCs w:val="22"/>
                <w:lang w:eastAsia="en-CA"/>
              </w:rPr>
            </w:pPr>
            <w:r w:rsidRPr="00C63A39">
              <w:rPr>
                <w:color w:val="000000"/>
                <w:kern w:val="22"/>
                <w:szCs w:val="22"/>
                <w:lang w:eastAsia="en-CA"/>
              </w:rPr>
              <w:t>998</w:t>
            </w:r>
          </w:p>
        </w:tc>
      </w:tr>
      <w:tr w:rsidR="00315701" w:rsidRPr="00C63A39" w14:paraId="0FC30771"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72821F6" w14:textId="5B8417BC" w:rsidR="00315701" w:rsidRPr="00C63A39" w:rsidRDefault="00315701" w:rsidP="00315701">
            <w:pPr>
              <w:rPr>
                <w:color w:val="000000"/>
                <w:kern w:val="22"/>
                <w:szCs w:val="22"/>
                <w:lang w:val="fr-FR" w:eastAsia="en-CA"/>
              </w:rPr>
            </w:pPr>
            <w:r w:rsidRPr="00C63A39">
              <w:rPr>
                <w:color w:val="000000"/>
                <w:kern w:val="22"/>
                <w:szCs w:val="22"/>
                <w:lang w:val="fr-FR" w:eastAsia="en-CA"/>
              </w:rPr>
              <w:t>Nor</w:t>
            </w:r>
            <w:r w:rsidR="00666925" w:rsidRPr="00C63A39">
              <w:rPr>
                <w:color w:val="000000"/>
                <w:kern w:val="22"/>
                <w:szCs w:val="22"/>
                <w:lang w:val="fr-FR" w:eastAsia="en-CA"/>
              </w:rPr>
              <w:t>vège</w:t>
            </w:r>
          </w:p>
        </w:tc>
        <w:tc>
          <w:tcPr>
            <w:tcW w:w="1540" w:type="dxa"/>
            <w:tcBorders>
              <w:top w:val="nil"/>
              <w:left w:val="nil"/>
              <w:bottom w:val="single" w:sz="4" w:space="0" w:color="auto"/>
              <w:right w:val="single" w:sz="4" w:space="0" w:color="auto"/>
            </w:tcBorders>
            <w:shd w:val="clear" w:color="auto" w:fill="auto"/>
            <w:vAlign w:val="center"/>
            <w:hideMark/>
          </w:tcPr>
          <w:p w14:paraId="39ABB9AD"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0.754 </w:t>
            </w:r>
          </w:p>
        </w:tc>
        <w:tc>
          <w:tcPr>
            <w:tcW w:w="1540" w:type="dxa"/>
            <w:tcBorders>
              <w:top w:val="nil"/>
              <w:left w:val="nil"/>
              <w:bottom w:val="single" w:sz="4" w:space="0" w:color="auto"/>
              <w:right w:val="single" w:sz="4" w:space="0" w:color="auto"/>
            </w:tcBorders>
            <w:shd w:val="clear" w:color="auto" w:fill="auto"/>
            <w:noWrap/>
            <w:vAlign w:val="center"/>
            <w:hideMark/>
          </w:tcPr>
          <w:p w14:paraId="0BFEFD7D"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0.943 </w:t>
            </w:r>
          </w:p>
        </w:tc>
        <w:tc>
          <w:tcPr>
            <w:tcW w:w="1540" w:type="dxa"/>
            <w:tcBorders>
              <w:top w:val="nil"/>
              <w:left w:val="nil"/>
              <w:bottom w:val="single" w:sz="4" w:space="0" w:color="auto"/>
              <w:right w:val="single" w:sz="4" w:space="0" w:color="auto"/>
            </w:tcBorders>
            <w:shd w:val="clear" w:color="auto" w:fill="auto"/>
            <w:noWrap/>
            <w:vAlign w:val="center"/>
            <w:hideMark/>
          </w:tcPr>
          <w:p w14:paraId="504F5D81"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107,490</w:t>
            </w:r>
          </w:p>
        </w:tc>
      </w:tr>
      <w:tr w:rsidR="00315701" w:rsidRPr="00C63A39" w14:paraId="170418BE"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8012AE7" w14:textId="77777777" w:rsidR="00315701" w:rsidRPr="00C63A39" w:rsidRDefault="00315701" w:rsidP="00315701">
            <w:pPr>
              <w:rPr>
                <w:color w:val="000000"/>
                <w:kern w:val="22"/>
                <w:szCs w:val="22"/>
                <w:lang w:val="fr-FR" w:eastAsia="en-CA"/>
              </w:rPr>
            </w:pPr>
            <w:r w:rsidRPr="00C63A39">
              <w:rPr>
                <w:color w:val="000000"/>
                <w:kern w:val="22"/>
                <w:szCs w:val="22"/>
                <w:lang w:val="fr-FR" w:eastAsia="en-CA"/>
              </w:rPr>
              <w:t>Oman</w:t>
            </w:r>
          </w:p>
        </w:tc>
        <w:tc>
          <w:tcPr>
            <w:tcW w:w="1540" w:type="dxa"/>
            <w:tcBorders>
              <w:top w:val="nil"/>
              <w:left w:val="nil"/>
              <w:bottom w:val="single" w:sz="4" w:space="0" w:color="auto"/>
              <w:right w:val="single" w:sz="4" w:space="0" w:color="auto"/>
            </w:tcBorders>
            <w:shd w:val="clear" w:color="auto" w:fill="auto"/>
            <w:vAlign w:val="center"/>
            <w:hideMark/>
          </w:tcPr>
          <w:p w14:paraId="6FD7CA3D"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0.115 </w:t>
            </w:r>
          </w:p>
        </w:tc>
        <w:tc>
          <w:tcPr>
            <w:tcW w:w="1540" w:type="dxa"/>
            <w:tcBorders>
              <w:top w:val="nil"/>
              <w:left w:val="nil"/>
              <w:bottom w:val="single" w:sz="4" w:space="0" w:color="auto"/>
              <w:right w:val="single" w:sz="4" w:space="0" w:color="auto"/>
            </w:tcBorders>
            <w:shd w:val="clear" w:color="auto" w:fill="auto"/>
            <w:noWrap/>
            <w:vAlign w:val="center"/>
            <w:hideMark/>
          </w:tcPr>
          <w:p w14:paraId="44767CB2"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0.144 </w:t>
            </w:r>
          </w:p>
        </w:tc>
        <w:tc>
          <w:tcPr>
            <w:tcW w:w="1540" w:type="dxa"/>
            <w:tcBorders>
              <w:top w:val="nil"/>
              <w:left w:val="nil"/>
              <w:bottom w:val="single" w:sz="4" w:space="0" w:color="auto"/>
              <w:right w:val="single" w:sz="4" w:space="0" w:color="auto"/>
            </w:tcBorders>
            <w:shd w:val="clear" w:color="auto" w:fill="auto"/>
            <w:noWrap/>
            <w:vAlign w:val="center"/>
            <w:hideMark/>
          </w:tcPr>
          <w:p w14:paraId="109AA04B"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16,394</w:t>
            </w:r>
          </w:p>
        </w:tc>
      </w:tr>
      <w:tr w:rsidR="00315701" w:rsidRPr="00C63A39" w14:paraId="41E34343"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335ED0B" w14:textId="77777777" w:rsidR="00315701" w:rsidRPr="00C63A39" w:rsidRDefault="00315701" w:rsidP="00315701">
            <w:pPr>
              <w:rPr>
                <w:color w:val="000000"/>
                <w:kern w:val="22"/>
                <w:szCs w:val="22"/>
                <w:lang w:val="fr-FR" w:eastAsia="en-CA"/>
              </w:rPr>
            </w:pPr>
            <w:r w:rsidRPr="00C63A39">
              <w:rPr>
                <w:color w:val="000000"/>
                <w:kern w:val="22"/>
                <w:szCs w:val="22"/>
                <w:lang w:val="fr-FR" w:eastAsia="en-CA"/>
              </w:rPr>
              <w:t>Pakistan</w:t>
            </w:r>
          </w:p>
        </w:tc>
        <w:tc>
          <w:tcPr>
            <w:tcW w:w="1540" w:type="dxa"/>
            <w:tcBorders>
              <w:top w:val="nil"/>
              <w:left w:val="nil"/>
              <w:bottom w:val="single" w:sz="4" w:space="0" w:color="auto"/>
              <w:right w:val="single" w:sz="4" w:space="0" w:color="auto"/>
            </w:tcBorders>
            <w:shd w:val="clear" w:color="auto" w:fill="auto"/>
            <w:vAlign w:val="center"/>
            <w:hideMark/>
          </w:tcPr>
          <w:p w14:paraId="16D3856E"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0.115 </w:t>
            </w:r>
          </w:p>
        </w:tc>
        <w:tc>
          <w:tcPr>
            <w:tcW w:w="1540" w:type="dxa"/>
            <w:tcBorders>
              <w:top w:val="nil"/>
              <w:left w:val="nil"/>
              <w:bottom w:val="single" w:sz="4" w:space="0" w:color="auto"/>
              <w:right w:val="single" w:sz="4" w:space="0" w:color="auto"/>
            </w:tcBorders>
            <w:shd w:val="clear" w:color="auto" w:fill="auto"/>
            <w:noWrap/>
            <w:vAlign w:val="center"/>
            <w:hideMark/>
          </w:tcPr>
          <w:p w14:paraId="4BB29CE9"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0.144 </w:t>
            </w:r>
          </w:p>
        </w:tc>
        <w:tc>
          <w:tcPr>
            <w:tcW w:w="1540" w:type="dxa"/>
            <w:tcBorders>
              <w:top w:val="nil"/>
              <w:left w:val="nil"/>
              <w:bottom w:val="single" w:sz="4" w:space="0" w:color="auto"/>
              <w:right w:val="single" w:sz="4" w:space="0" w:color="auto"/>
            </w:tcBorders>
            <w:shd w:val="clear" w:color="auto" w:fill="auto"/>
            <w:noWrap/>
            <w:vAlign w:val="center"/>
            <w:hideMark/>
          </w:tcPr>
          <w:p w14:paraId="1E3A6938"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16,394</w:t>
            </w:r>
          </w:p>
        </w:tc>
      </w:tr>
      <w:tr w:rsidR="00315701" w:rsidRPr="00C63A39" w14:paraId="387BF560"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6984AD7" w14:textId="77777777" w:rsidR="00315701" w:rsidRPr="00C63A39" w:rsidRDefault="00315701" w:rsidP="00315701">
            <w:pPr>
              <w:rPr>
                <w:color w:val="000000"/>
                <w:kern w:val="22"/>
                <w:szCs w:val="22"/>
                <w:lang w:val="fr-FR" w:eastAsia="en-CA"/>
              </w:rPr>
            </w:pPr>
            <w:r w:rsidRPr="00C63A39">
              <w:rPr>
                <w:color w:val="000000"/>
                <w:kern w:val="22"/>
                <w:szCs w:val="22"/>
                <w:lang w:val="fr-FR" w:eastAsia="en-CA"/>
              </w:rPr>
              <w:t>Palau</w:t>
            </w:r>
          </w:p>
        </w:tc>
        <w:tc>
          <w:tcPr>
            <w:tcW w:w="1540" w:type="dxa"/>
            <w:tcBorders>
              <w:top w:val="nil"/>
              <w:left w:val="nil"/>
              <w:bottom w:val="single" w:sz="4" w:space="0" w:color="auto"/>
              <w:right w:val="single" w:sz="4" w:space="0" w:color="auto"/>
            </w:tcBorders>
            <w:shd w:val="clear" w:color="auto" w:fill="auto"/>
            <w:vAlign w:val="center"/>
            <w:hideMark/>
          </w:tcPr>
          <w:p w14:paraId="5B7BEA5A"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3BDA6D24"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4599CDE0"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143</w:t>
            </w:r>
          </w:p>
        </w:tc>
      </w:tr>
      <w:tr w:rsidR="00315701" w:rsidRPr="00C63A39" w14:paraId="7B82797F"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681260A" w14:textId="77777777" w:rsidR="00315701" w:rsidRPr="00C63A39" w:rsidRDefault="00315701" w:rsidP="00315701">
            <w:pPr>
              <w:rPr>
                <w:color w:val="000000"/>
                <w:kern w:val="22"/>
                <w:szCs w:val="22"/>
                <w:lang w:val="fr-FR" w:eastAsia="en-CA"/>
              </w:rPr>
            </w:pPr>
            <w:r w:rsidRPr="00C63A39">
              <w:rPr>
                <w:color w:val="000000"/>
                <w:kern w:val="22"/>
                <w:szCs w:val="22"/>
                <w:lang w:val="fr-FR" w:eastAsia="en-CA"/>
              </w:rPr>
              <w:t>Panama</w:t>
            </w:r>
          </w:p>
        </w:tc>
        <w:tc>
          <w:tcPr>
            <w:tcW w:w="1540" w:type="dxa"/>
            <w:tcBorders>
              <w:top w:val="nil"/>
              <w:left w:val="nil"/>
              <w:bottom w:val="single" w:sz="4" w:space="0" w:color="auto"/>
              <w:right w:val="single" w:sz="4" w:space="0" w:color="auto"/>
            </w:tcBorders>
            <w:shd w:val="clear" w:color="auto" w:fill="auto"/>
            <w:vAlign w:val="center"/>
            <w:hideMark/>
          </w:tcPr>
          <w:p w14:paraId="239D1005"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0.045 </w:t>
            </w:r>
          </w:p>
        </w:tc>
        <w:tc>
          <w:tcPr>
            <w:tcW w:w="1540" w:type="dxa"/>
            <w:tcBorders>
              <w:top w:val="nil"/>
              <w:left w:val="nil"/>
              <w:bottom w:val="single" w:sz="4" w:space="0" w:color="auto"/>
              <w:right w:val="single" w:sz="4" w:space="0" w:color="auto"/>
            </w:tcBorders>
            <w:shd w:val="clear" w:color="auto" w:fill="auto"/>
            <w:noWrap/>
            <w:vAlign w:val="center"/>
            <w:hideMark/>
          </w:tcPr>
          <w:p w14:paraId="5B7C671B"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0.056 </w:t>
            </w:r>
          </w:p>
        </w:tc>
        <w:tc>
          <w:tcPr>
            <w:tcW w:w="1540" w:type="dxa"/>
            <w:tcBorders>
              <w:top w:val="nil"/>
              <w:left w:val="nil"/>
              <w:bottom w:val="single" w:sz="4" w:space="0" w:color="auto"/>
              <w:right w:val="single" w:sz="4" w:space="0" w:color="auto"/>
            </w:tcBorders>
            <w:shd w:val="clear" w:color="auto" w:fill="auto"/>
            <w:noWrap/>
            <w:vAlign w:val="center"/>
            <w:hideMark/>
          </w:tcPr>
          <w:p w14:paraId="4E8C6819"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6,415</w:t>
            </w:r>
          </w:p>
        </w:tc>
      </w:tr>
      <w:tr w:rsidR="00315701" w:rsidRPr="00C63A39" w14:paraId="0A435936"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77BE4FC" w14:textId="301D92F5" w:rsidR="00315701" w:rsidRPr="00C63A39" w:rsidRDefault="00315701" w:rsidP="00315701">
            <w:pPr>
              <w:rPr>
                <w:color w:val="000000"/>
                <w:kern w:val="22"/>
                <w:szCs w:val="22"/>
                <w:lang w:val="fr-FR" w:eastAsia="en-CA"/>
              </w:rPr>
            </w:pPr>
            <w:r w:rsidRPr="00C63A39">
              <w:rPr>
                <w:color w:val="000000"/>
                <w:kern w:val="22"/>
                <w:szCs w:val="22"/>
                <w:lang w:val="fr-FR" w:eastAsia="en-CA"/>
              </w:rPr>
              <w:t>Pap</w:t>
            </w:r>
            <w:r w:rsidR="00666925" w:rsidRPr="00C63A39">
              <w:rPr>
                <w:color w:val="000000"/>
                <w:kern w:val="22"/>
                <w:szCs w:val="22"/>
                <w:lang w:val="fr-FR" w:eastAsia="en-CA"/>
              </w:rPr>
              <w:t>ouasie-Nouvelle-Guinée</w:t>
            </w:r>
          </w:p>
        </w:tc>
        <w:tc>
          <w:tcPr>
            <w:tcW w:w="1540" w:type="dxa"/>
            <w:tcBorders>
              <w:top w:val="nil"/>
              <w:left w:val="nil"/>
              <w:bottom w:val="single" w:sz="4" w:space="0" w:color="auto"/>
              <w:right w:val="single" w:sz="4" w:space="0" w:color="auto"/>
            </w:tcBorders>
            <w:shd w:val="clear" w:color="auto" w:fill="auto"/>
            <w:vAlign w:val="center"/>
            <w:hideMark/>
          </w:tcPr>
          <w:p w14:paraId="470C8E75"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47C20275"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0.013 </w:t>
            </w:r>
          </w:p>
        </w:tc>
        <w:tc>
          <w:tcPr>
            <w:tcW w:w="1540" w:type="dxa"/>
            <w:tcBorders>
              <w:top w:val="nil"/>
              <w:left w:val="nil"/>
              <w:bottom w:val="single" w:sz="4" w:space="0" w:color="auto"/>
              <w:right w:val="single" w:sz="4" w:space="0" w:color="auto"/>
            </w:tcBorders>
            <w:shd w:val="clear" w:color="auto" w:fill="auto"/>
            <w:noWrap/>
            <w:vAlign w:val="center"/>
            <w:hideMark/>
          </w:tcPr>
          <w:p w14:paraId="78E5282E"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1,426</w:t>
            </w:r>
          </w:p>
        </w:tc>
      </w:tr>
      <w:tr w:rsidR="00315701" w:rsidRPr="00C63A39" w14:paraId="71C0E53E"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4C220B1" w14:textId="77777777" w:rsidR="00315701" w:rsidRPr="00C63A39" w:rsidRDefault="00315701" w:rsidP="00315701">
            <w:pPr>
              <w:rPr>
                <w:color w:val="000000"/>
                <w:kern w:val="22"/>
                <w:szCs w:val="22"/>
                <w:lang w:val="fr-FR" w:eastAsia="en-CA"/>
              </w:rPr>
            </w:pPr>
            <w:r w:rsidRPr="00C63A39">
              <w:rPr>
                <w:color w:val="000000"/>
                <w:kern w:val="22"/>
                <w:szCs w:val="22"/>
                <w:lang w:val="fr-FR" w:eastAsia="en-CA"/>
              </w:rPr>
              <w:t>Paraguay</w:t>
            </w:r>
          </w:p>
        </w:tc>
        <w:tc>
          <w:tcPr>
            <w:tcW w:w="1540" w:type="dxa"/>
            <w:tcBorders>
              <w:top w:val="nil"/>
              <w:left w:val="nil"/>
              <w:bottom w:val="single" w:sz="4" w:space="0" w:color="auto"/>
              <w:right w:val="single" w:sz="4" w:space="0" w:color="auto"/>
            </w:tcBorders>
            <w:shd w:val="clear" w:color="auto" w:fill="auto"/>
            <w:vAlign w:val="center"/>
            <w:hideMark/>
          </w:tcPr>
          <w:p w14:paraId="366D095B"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0.016 </w:t>
            </w:r>
          </w:p>
        </w:tc>
        <w:tc>
          <w:tcPr>
            <w:tcW w:w="1540" w:type="dxa"/>
            <w:tcBorders>
              <w:top w:val="nil"/>
              <w:left w:val="nil"/>
              <w:bottom w:val="single" w:sz="4" w:space="0" w:color="auto"/>
              <w:right w:val="single" w:sz="4" w:space="0" w:color="auto"/>
            </w:tcBorders>
            <w:shd w:val="clear" w:color="auto" w:fill="auto"/>
            <w:noWrap/>
            <w:vAlign w:val="center"/>
            <w:hideMark/>
          </w:tcPr>
          <w:p w14:paraId="100CC6D9"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0.020 </w:t>
            </w:r>
          </w:p>
        </w:tc>
        <w:tc>
          <w:tcPr>
            <w:tcW w:w="1540" w:type="dxa"/>
            <w:tcBorders>
              <w:top w:val="nil"/>
              <w:left w:val="nil"/>
              <w:bottom w:val="single" w:sz="4" w:space="0" w:color="auto"/>
              <w:right w:val="single" w:sz="4" w:space="0" w:color="auto"/>
            </w:tcBorders>
            <w:shd w:val="clear" w:color="auto" w:fill="auto"/>
            <w:noWrap/>
            <w:vAlign w:val="center"/>
            <w:hideMark/>
          </w:tcPr>
          <w:p w14:paraId="55351DB1"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2,281</w:t>
            </w:r>
          </w:p>
        </w:tc>
      </w:tr>
      <w:tr w:rsidR="00315701" w:rsidRPr="00C63A39" w14:paraId="447544AE"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027627A" w14:textId="03EBBF2D" w:rsidR="00315701" w:rsidRPr="00C63A39" w:rsidRDefault="00315701" w:rsidP="00315701">
            <w:pPr>
              <w:rPr>
                <w:color w:val="000000"/>
                <w:kern w:val="22"/>
                <w:szCs w:val="22"/>
                <w:lang w:val="fr-FR" w:eastAsia="en-CA"/>
              </w:rPr>
            </w:pPr>
            <w:r w:rsidRPr="00C63A39">
              <w:rPr>
                <w:color w:val="000000"/>
                <w:kern w:val="22"/>
                <w:szCs w:val="22"/>
                <w:lang w:val="fr-FR" w:eastAsia="en-CA"/>
              </w:rPr>
              <w:t>P</w:t>
            </w:r>
            <w:r w:rsidR="00666925" w:rsidRPr="00C63A39">
              <w:rPr>
                <w:color w:val="000000"/>
                <w:kern w:val="22"/>
                <w:szCs w:val="22"/>
                <w:lang w:val="fr-FR" w:eastAsia="en-CA"/>
              </w:rPr>
              <w:t>érou</w:t>
            </w:r>
          </w:p>
        </w:tc>
        <w:tc>
          <w:tcPr>
            <w:tcW w:w="1540" w:type="dxa"/>
            <w:tcBorders>
              <w:top w:val="nil"/>
              <w:left w:val="nil"/>
              <w:bottom w:val="single" w:sz="4" w:space="0" w:color="auto"/>
              <w:right w:val="single" w:sz="4" w:space="0" w:color="auto"/>
            </w:tcBorders>
            <w:shd w:val="clear" w:color="auto" w:fill="auto"/>
            <w:vAlign w:val="center"/>
            <w:hideMark/>
          </w:tcPr>
          <w:p w14:paraId="51F9ABF9"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0.152 </w:t>
            </w:r>
          </w:p>
        </w:tc>
        <w:tc>
          <w:tcPr>
            <w:tcW w:w="1540" w:type="dxa"/>
            <w:tcBorders>
              <w:top w:val="nil"/>
              <w:left w:val="nil"/>
              <w:bottom w:val="single" w:sz="4" w:space="0" w:color="auto"/>
              <w:right w:val="single" w:sz="4" w:space="0" w:color="auto"/>
            </w:tcBorders>
            <w:shd w:val="clear" w:color="auto" w:fill="auto"/>
            <w:noWrap/>
            <w:vAlign w:val="center"/>
            <w:hideMark/>
          </w:tcPr>
          <w:p w14:paraId="72475E7F"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0.190 </w:t>
            </w:r>
          </w:p>
        </w:tc>
        <w:tc>
          <w:tcPr>
            <w:tcW w:w="1540" w:type="dxa"/>
            <w:tcBorders>
              <w:top w:val="nil"/>
              <w:left w:val="nil"/>
              <w:bottom w:val="single" w:sz="4" w:space="0" w:color="auto"/>
              <w:right w:val="single" w:sz="4" w:space="0" w:color="auto"/>
            </w:tcBorders>
            <w:shd w:val="clear" w:color="auto" w:fill="auto"/>
            <w:noWrap/>
            <w:vAlign w:val="center"/>
            <w:hideMark/>
          </w:tcPr>
          <w:p w14:paraId="370135AF"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21,669</w:t>
            </w:r>
          </w:p>
        </w:tc>
      </w:tr>
      <w:tr w:rsidR="00315701" w:rsidRPr="00C63A39" w14:paraId="4E2210C9"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1D89356" w14:textId="77777777" w:rsidR="00315701" w:rsidRPr="00C63A39" w:rsidRDefault="00315701" w:rsidP="00315701">
            <w:pPr>
              <w:rPr>
                <w:color w:val="000000"/>
                <w:kern w:val="22"/>
                <w:szCs w:val="22"/>
                <w:lang w:val="fr-FR" w:eastAsia="en-CA"/>
              </w:rPr>
            </w:pPr>
            <w:r w:rsidRPr="00C63A39">
              <w:rPr>
                <w:color w:val="000000"/>
                <w:kern w:val="22"/>
                <w:szCs w:val="22"/>
                <w:lang w:val="fr-FR" w:eastAsia="en-CA"/>
              </w:rPr>
              <w:t>Philippines</w:t>
            </w:r>
          </w:p>
        </w:tc>
        <w:tc>
          <w:tcPr>
            <w:tcW w:w="1540" w:type="dxa"/>
            <w:tcBorders>
              <w:top w:val="nil"/>
              <w:left w:val="nil"/>
              <w:bottom w:val="single" w:sz="4" w:space="0" w:color="auto"/>
              <w:right w:val="single" w:sz="4" w:space="0" w:color="auto"/>
            </w:tcBorders>
            <w:shd w:val="clear" w:color="auto" w:fill="auto"/>
            <w:vAlign w:val="center"/>
            <w:hideMark/>
          </w:tcPr>
          <w:p w14:paraId="4C993910"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0.205 </w:t>
            </w:r>
          </w:p>
        </w:tc>
        <w:tc>
          <w:tcPr>
            <w:tcW w:w="1540" w:type="dxa"/>
            <w:tcBorders>
              <w:top w:val="nil"/>
              <w:left w:val="nil"/>
              <w:bottom w:val="single" w:sz="4" w:space="0" w:color="auto"/>
              <w:right w:val="single" w:sz="4" w:space="0" w:color="auto"/>
            </w:tcBorders>
            <w:shd w:val="clear" w:color="auto" w:fill="auto"/>
            <w:noWrap/>
            <w:vAlign w:val="center"/>
            <w:hideMark/>
          </w:tcPr>
          <w:p w14:paraId="2D2EE717"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0.256 </w:t>
            </w:r>
          </w:p>
        </w:tc>
        <w:tc>
          <w:tcPr>
            <w:tcW w:w="1540" w:type="dxa"/>
            <w:tcBorders>
              <w:top w:val="nil"/>
              <w:left w:val="nil"/>
              <w:bottom w:val="single" w:sz="4" w:space="0" w:color="auto"/>
              <w:right w:val="single" w:sz="4" w:space="0" w:color="auto"/>
            </w:tcBorders>
            <w:shd w:val="clear" w:color="auto" w:fill="auto"/>
            <w:noWrap/>
            <w:vAlign w:val="center"/>
            <w:hideMark/>
          </w:tcPr>
          <w:p w14:paraId="7B6433BF"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29,225</w:t>
            </w:r>
          </w:p>
        </w:tc>
      </w:tr>
      <w:tr w:rsidR="00315701" w:rsidRPr="00C63A39" w14:paraId="0CB48507"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BEAC62A" w14:textId="01839D17" w:rsidR="00315701" w:rsidRPr="00C63A39" w:rsidRDefault="00315701" w:rsidP="00315701">
            <w:pPr>
              <w:rPr>
                <w:color w:val="000000"/>
                <w:kern w:val="22"/>
                <w:szCs w:val="22"/>
                <w:lang w:val="fr-FR" w:eastAsia="en-CA"/>
              </w:rPr>
            </w:pPr>
            <w:r w:rsidRPr="00C63A39">
              <w:rPr>
                <w:color w:val="000000"/>
                <w:kern w:val="22"/>
                <w:szCs w:val="22"/>
                <w:lang w:val="fr-FR" w:eastAsia="en-CA"/>
              </w:rPr>
              <w:t>Pol</w:t>
            </w:r>
            <w:r w:rsidR="00666925" w:rsidRPr="00C63A39">
              <w:rPr>
                <w:color w:val="000000"/>
                <w:kern w:val="22"/>
                <w:szCs w:val="22"/>
                <w:lang w:val="fr-FR" w:eastAsia="en-CA"/>
              </w:rPr>
              <w:t>ogne</w:t>
            </w:r>
          </w:p>
        </w:tc>
        <w:tc>
          <w:tcPr>
            <w:tcW w:w="1540" w:type="dxa"/>
            <w:tcBorders>
              <w:top w:val="nil"/>
              <w:left w:val="nil"/>
              <w:bottom w:val="single" w:sz="4" w:space="0" w:color="auto"/>
              <w:right w:val="single" w:sz="4" w:space="0" w:color="auto"/>
            </w:tcBorders>
            <w:shd w:val="clear" w:color="auto" w:fill="auto"/>
            <w:vAlign w:val="center"/>
            <w:hideMark/>
          </w:tcPr>
          <w:p w14:paraId="48C0F640"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0.802 </w:t>
            </w:r>
          </w:p>
        </w:tc>
        <w:tc>
          <w:tcPr>
            <w:tcW w:w="1540" w:type="dxa"/>
            <w:tcBorders>
              <w:top w:val="nil"/>
              <w:left w:val="nil"/>
              <w:bottom w:val="single" w:sz="4" w:space="0" w:color="auto"/>
              <w:right w:val="single" w:sz="4" w:space="0" w:color="auto"/>
            </w:tcBorders>
            <w:shd w:val="clear" w:color="auto" w:fill="auto"/>
            <w:noWrap/>
            <w:vAlign w:val="center"/>
            <w:hideMark/>
          </w:tcPr>
          <w:p w14:paraId="2DB3C98C"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1.003 </w:t>
            </w:r>
          </w:p>
        </w:tc>
        <w:tc>
          <w:tcPr>
            <w:tcW w:w="1540" w:type="dxa"/>
            <w:tcBorders>
              <w:top w:val="nil"/>
              <w:left w:val="nil"/>
              <w:bottom w:val="single" w:sz="4" w:space="0" w:color="auto"/>
              <w:right w:val="single" w:sz="4" w:space="0" w:color="auto"/>
            </w:tcBorders>
            <w:shd w:val="clear" w:color="auto" w:fill="auto"/>
            <w:noWrap/>
            <w:vAlign w:val="center"/>
            <w:hideMark/>
          </w:tcPr>
          <w:p w14:paraId="6547C098"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114,333</w:t>
            </w:r>
          </w:p>
        </w:tc>
      </w:tr>
      <w:tr w:rsidR="00315701" w:rsidRPr="00C63A39" w14:paraId="1E9046FC"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460100C" w14:textId="77777777" w:rsidR="00315701" w:rsidRPr="00C63A39" w:rsidRDefault="00315701" w:rsidP="00315701">
            <w:pPr>
              <w:rPr>
                <w:color w:val="000000"/>
                <w:kern w:val="22"/>
                <w:szCs w:val="22"/>
                <w:lang w:val="fr-FR" w:eastAsia="en-CA"/>
              </w:rPr>
            </w:pPr>
            <w:r w:rsidRPr="00C63A39">
              <w:rPr>
                <w:color w:val="000000"/>
                <w:kern w:val="22"/>
                <w:szCs w:val="22"/>
                <w:lang w:val="fr-FR" w:eastAsia="en-CA"/>
              </w:rPr>
              <w:t>Portugal</w:t>
            </w:r>
          </w:p>
        </w:tc>
        <w:tc>
          <w:tcPr>
            <w:tcW w:w="1540" w:type="dxa"/>
            <w:tcBorders>
              <w:top w:val="nil"/>
              <w:left w:val="nil"/>
              <w:bottom w:val="single" w:sz="4" w:space="0" w:color="auto"/>
              <w:right w:val="single" w:sz="4" w:space="0" w:color="auto"/>
            </w:tcBorders>
            <w:shd w:val="clear" w:color="auto" w:fill="auto"/>
            <w:vAlign w:val="center"/>
            <w:hideMark/>
          </w:tcPr>
          <w:p w14:paraId="7454602B"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0.350 </w:t>
            </w:r>
          </w:p>
        </w:tc>
        <w:tc>
          <w:tcPr>
            <w:tcW w:w="1540" w:type="dxa"/>
            <w:tcBorders>
              <w:top w:val="nil"/>
              <w:left w:val="nil"/>
              <w:bottom w:val="single" w:sz="4" w:space="0" w:color="auto"/>
              <w:right w:val="single" w:sz="4" w:space="0" w:color="auto"/>
            </w:tcBorders>
            <w:shd w:val="clear" w:color="auto" w:fill="auto"/>
            <w:noWrap/>
            <w:vAlign w:val="center"/>
            <w:hideMark/>
          </w:tcPr>
          <w:p w14:paraId="63FA3A38"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 xml:space="preserve">0.438 </w:t>
            </w:r>
          </w:p>
        </w:tc>
        <w:tc>
          <w:tcPr>
            <w:tcW w:w="1540" w:type="dxa"/>
            <w:tcBorders>
              <w:top w:val="nil"/>
              <w:left w:val="nil"/>
              <w:bottom w:val="single" w:sz="4" w:space="0" w:color="auto"/>
              <w:right w:val="single" w:sz="4" w:space="0" w:color="auto"/>
            </w:tcBorders>
            <w:shd w:val="clear" w:color="auto" w:fill="auto"/>
            <w:noWrap/>
            <w:vAlign w:val="center"/>
            <w:hideMark/>
          </w:tcPr>
          <w:p w14:paraId="11986611" w14:textId="77777777" w:rsidR="00315701" w:rsidRPr="00C63A39" w:rsidRDefault="00315701" w:rsidP="00315701">
            <w:pPr>
              <w:jc w:val="right"/>
              <w:rPr>
                <w:color w:val="000000"/>
                <w:kern w:val="22"/>
                <w:szCs w:val="22"/>
                <w:lang w:eastAsia="en-CA"/>
              </w:rPr>
            </w:pPr>
            <w:r w:rsidRPr="00C63A39">
              <w:rPr>
                <w:color w:val="000000"/>
                <w:kern w:val="22"/>
                <w:szCs w:val="22"/>
                <w:lang w:eastAsia="en-CA"/>
              </w:rPr>
              <w:t>49,896</w:t>
            </w:r>
          </w:p>
        </w:tc>
      </w:tr>
    </w:tbl>
    <w:p w14:paraId="5E984F8D" w14:textId="24EF39F0" w:rsidR="00315701" w:rsidRPr="00C63A39" w:rsidRDefault="00315701" w:rsidP="0079737F">
      <w:pPr>
        <w:autoSpaceDE w:val="0"/>
        <w:autoSpaceDN w:val="0"/>
        <w:adjustRightInd w:val="0"/>
        <w:rPr>
          <w:rFonts w:eastAsiaTheme="minorEastAsia"/>
          <w:bCs/>
          <w:kern w:val="22"/>
          <w:szCs w:val="22"/>
        </w:rPr>
      </w:pPr>
    </w:p>
    <w:p w14:paraId="088E7FD0" w14:textId="77777777" w:rsidR="00315701" w:rsidRPr="00C63A39" w:rsidRDefault="00315701">
      <w:pPr>
        <w:spacing w:after="160" w:line="259" w:lineRule="auto"/>
        <w:rPr>
          <w:rFonts w:eastAsiaTheme="minorEastAsia"/>
          <w:bCs/>
          <w:kern w:val="22"/>
          <w:szCs w:val="22"/>
        </w:rPr>
      </w:pPr>
      <w:r w:rsidRPr="00C63A39">
        <w:rPr>
          <w:rFonts w:eastAsiaTheme="minorEastAsia"/>
          <w:bCs/>
          <w:kern w:val="22"/>
          <w:szCs w:val="22"/>
        </w:rPr>
        <w:br w:type="page"/>
      </w:r>
    </w:p>
    <w:tbl>
      <w:tblPr>
        <w:tblW w:w="9420" w:type="dxa"/>
        <w:tblLook w:val="04A0" w:firstRow="1" w:lastRow="0" w:firstColumn="1" w:lastColumn="0" w:noHBand="0" w:noVBand="1"/>
      </w:tblPr>
      <w:tblGrid>
        <w:gridCol w:w="4800"/>
        <w:gridCol w:w="1540"/>
        <w:gridCol w:w="1540"/>
        <w:gridCol w:w="1540"/>
      </w:tblGrid>
      <w:tr w:rsidR="005F7E95" w:rsidRPr="00C63A39" w14:paraId="5CF7EECD" w14:textId="77777777" w:rsidTr="00315701">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5F45C" w14:textId="3E721236" w:rsidR="005F7E95" w:rsidRPr="00C63A39" w:rsidRDefault="005F7E95" w:rsidP="005F7E95">
            <w:pPr>
              <w:jc w:val="center"/>
              <w:rPr>
                <w:b/>
                <w:bCs/>
                <w:kern w:val="22"/>
                <w:szCs w:val="22"/>
                <w:lang w:eastAsia="en-CA"/>
              </w:rPr>
            </w:pPr>
            <w:r w:rsidRPr="00C63A39">
              <w:rPr>
                <w:b/>
                <w:bCs/>
                <w:kern w:val="22"/>
                <w:szCs w:val="22"/>
                <w:lang w:val="fr-FR" w:eastAsia="en-CA"/>
              </w:rPr>
              <w:lastRenderedPageBreak/>
              <w:t>Partie</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6CCC43F6" w14:textId="3A292B60" w:rsidR="005F7E95" w:rsidRPr="00C63A39" w:rsidRDefault="005F7E95" w:rsidP="005F7E95">
            <w:pPr>
              <w:jc w:val="center"/>
              <w:rPr>
                <w:b/>
                <w:bCs/>
                <w:color w:val="000000"/>
                <w:kern w:val="22"/>
                <w:szCs w:val="22"/>
                <w:lang w:eastAsia="en-CA"/>
              </w:rPr>
            </w:pPr>
            <w:r w:rsidRPr="00C63A39">
              <w:rPr>
                <w:b/>
                <w:bCs/>
                <w:color w:val="000000"/>
                <w:kern w:val="22"/>
                <w:szCs w:val="22"/>
                <w:lang w:val="fr-FR" w:eastAsia="en-CA"/>
              </w:rPr>
              <w:t xml:space="preserve">Barème des quotes-parts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73582CB3" w14:textId="21F5B971" w:rsidR="005F7E95" w:rsidRPr="006E23F0" w:rsidRDefault="005F7E95" w:rsidP="005F7E95">
            <w:pPr>
              <w:jc w:val="center"/>
              <w:rPr>
                <w:b/>
                <w:bCs/>
                <w:color w:val="000000"/>
                <w:kern w:val="22"/>
                <w:szCs w:val="22"/>
                <w:lang w:val="fr-CA" w:eastAsia="en-CA"/>
              </w:rPr>
            </w:pPr>
            <w:r w:rsidRPr="00C63A39">
              <w:rPr>
                <w:b/>
                <w:bCs/>
                <w:color w:val="000000"/>
                <w:kern w:val="22"/>
                <w:szCs w:val="22"/>
                <w:lang w:val="fr-FR" w:eastAsia="en-CA"/>
              </w:rPr>
              <w:t>Barème assorti d’un plafond de 22% ; aucun PMA ne paie plus de 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18B7C471" w14:textId="7744D290" w:rsidR="005F7E95" w:rsidRPr="00C63A39" w:rsidRDefault="005F7E95" w:rsidP="005F7E95">
            <w:pPr>
              <w:jc w:val="center"/>
              <w:rPr>
                <w:b/>
                <w:bCs/>
                <w:color w:val="000000"/>
                <w:kern w:val="22"/>
                <w:szCs w:val="22"/>
                <w:lang w:eastAsia="en-CA"/>
              </w:rPr>
            </w:pPr>
            <w:r w:rsidRPr="00C63A39">
              <w:rPr>
                <w:b/>
                <w:bCs/>
                <w:color w:val="000000"/>
                <w:kern w:val="22"/>
                <w:szCs w:val="22"/>
                <w:lang w:val="fr-FR" w:eastAsia="en-CA"/>
              </w:rPr>
              <w:t>Contributions au 1er janvier 2020</w:t>
            </w:r>
          </w:p>
        </w:tc>
      </w:tr>
      <w:tr w:rsidR="0032335C" w:rsidRPr="00C63A39" w14:paraId="288761AC"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2E9120D1" w14:textId="440B8F18" w:rsidR="0032335C" w:rsidRPr="00C63A39" w:rsidRDefault="0032335C" w:rsidP="0032335C">
            <w:pPr>
              <w:rPr>
                <w:color w:val="000000"/>
                <w:kern w:val="22"/>
                <w:szCs w:val="22"/>
                <w:lang w:val="fr-FR" w:eastAsia="en-CA"/>
              </w:rPr>
            </w:pPr>
            <w:r w:rsidRPr="00C63A39">
              <w:rPr>
                <w:szCs w:val="22"/>
                <w:lang w:val="fr-FR"/>
              </w:rPr>
              <w:t>Qatar</w:t>
            </w:r>
          </w:p>
        </w:tc>
        <w:tc>
          <w:tcPr>
            <w:tcW w:w="1540" w:type="dxa"/>
            <w:tcBorders>
              <w:top w:val="nil"/>
              <w:left w:val="nil"/>
              <w:bottom w:val="single" w:sz="4" w:space="0" w:color="auto"/>
              <w:right w:val="single" w:sz="4" w:space="0" w:color="auto"/>
            </w:tcBorders>
            <w:shd w:val="clear" w:color="auto" w:fill="auto"/>
            <w:vAlign w:val="center"/>
            <w:hideMark/>
          </w:tcPr>
          <w:p w14:paraId="10A4AC73"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0.282 </w:t>
            </w:r>
          </w:p>
        </w:tc>
        <w:tc>
          <w:tcPr>
            <w:tcW w:w="1540" w:type="dxa"/>
            <w:tcBorders>
              <w:top w:val="nil"/>
              <w:left w:val="nil"/>
              <w:bottom w:val="single" w:sz="4" w:space="0" w:color="auto"/>
              <w:right w:val="single" w:sz="4" w:space="0" w:color="auto"/>
            </w:tcBorders>
            <w:shd w:val="clear" w:color="auto" w:fill="auto"/>
            <w:noWrap/>
            <w:vAlign w:val="center"/>
            <w:hideMark/>
          </w:tcPr>
          <w:p w14:paraId="187865F0"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0.353 </w:t>
            </w:r>
          </w:p>
        </w:tc>
        <w:tc>
          <w:tcPr>
            <w:tcW w:w="1540" w:type="dxa"/>
            <w:tcBorders>
              <w:top w:val="nil"/>
              <w:left w:val="nil"/>
              <w:bottom w:val="single" w:sz="4" w:space="0" w:color="auto"/>
              <w:right w:val="single" w:sz="4" w:space="0" w:color="auto"/>
            </w:tcBorders>
            <w:shd w:val="clear" w:color="auto" w:fill="auto"/>
            <w:noWrap/>
            <w:vAlign w:val="center"/>
            <w:hideMark/>
          </w:tcPr>
          <w:p w14:paraId="5DEB5777"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40,202</w:t>
            </w:r>
          </w:p>
        </w:tc>
      </w:tr>
      <w:tr w:rsidR="0032335C" w:rsidRPr="00C63A39" w14:paraId="3D111333"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6CBADD79" w14:textId="06214279" w:rsidR="0032335C" w:rsidRPr="00C63A39" w:rsidRDefault="0032335C" w:rsidP="0032335C">
            <w:pPr>
              <w:rPr>
                <w:color w:val="000000"/>
                <w:kern w:val="22"/>
                <w:szCs w:val="22"/>
                <w:lang w:val="fr-FR" w:eastAsia="en-CA"/>
              </w:rPr>
            </w:pPr>
            <w:r w:rsidRPr="00C63A39">
              <w:rPr>
                <w:szCs w:val="22"/>
                <w:lang w:val="fr-FR"/>
              </w:rPr>
              <w:t>République de Corée</w:t>
            </w:r>
          </w:p>
        </w:tc>
        <w:tc>
          <w:tcPr>
            <w:tcW w:w="1540" w:type="dxa"/>
            <w:tcBorders>
              <w:top w:val="nil"/>
              <w:left w:val="nil"/>
              <w:bottom w:val="single" w:sz="4" w:space="0" w:color="auto"/>
              <w:right w:val="single" w:sz="4" w:space="0" w:color="auto"/>
            </w:tcBorders>
            <w:shd w:val="clear" w:color="auto" w:fill="auto"/>
            <w:vAlign w:val="center"/>
            <w:hideMark/>
          </w:tcPr>
          <w:p w14:paraId="57CF4A90"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2.267 </w:t>
            </w:r>
          </w:p>
        </w:tc>
        <w:tc>
          <w:tcPr>
            <w:tcW w:w="1540" w:type="dxa"/>
            <w:tcBorders>
              <w:top w:val="nil"/>
              <w:left w:val="nil"/>
              <w:bottom w:val="single" w:sz="4" w:space="0" w:color="auto"/>
              <w:right w:val="single" w:sz="4" w:space="0" w:color="auto"/>
            </w:tcBorders>
            <w:shd w:val="clear" w:color="auto" w:fill="auto"/>
            <w:noWrap/>
            <w:vAlign w:val="center"/>
            <w:hideMark/>
          </w:tcPr>
          <w:p w14:paraId="466C6DD3"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2.834 </w:t>
            </w:r>
          </w:p>
        </w:tc>
        <w:tc>
          <w:tcPr>
            <w:tcW w:w="1540" w:type="dxa"/>
            <w:tcBorders>
              <w:top w:val="nil"/>
              <w:left w:val="nil"/>
              <w:bottom w:val="single" w:sz="4" w:space="0" w:color="auto"/>
              <w:right w:val="single" w:sz="4" w:space="0" w:color="auto"/>
            </w:tcBorders>
            <w:shd w:val="clear" w:color="auto" w:fill="auto"/>
            <w:noWrap/>
            <w:vAlign w:val="center"/>
            <w:hideMark/>
          </w:tcPr>
          <w:p w14:paraId="48BE06A0"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323,182</w:t>
            </w:r>
          </w:p>
        </w:tc>
      </w:tr>
      <w:tr w:rsidR="0032335C" w:rsidRPr="00C63A39" w14:paraId="7C4E473A"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531A54A8" w14:textId="23B1B36A" w:rsidR="0032335C" w:rsidRPr="00C63A39" w:rsidRDefault="0032335C" w:rsidP="0032335C">
            <w:pPr>
              <w:rPr>
                <w:color w:val="000000"/>
                <w:kern w:val="22"/>
                <w:szCs w:val="22"/>
                <w:lang w:val="fr-FR" w:eastAsia="en-CA"/>
              </w:rPr>
            </w:pPr>
            <w:r w:rsidRPr="00C63A39">
              <w:rPr>
                <w:szCs w:val="22"/>
                <w:lang w:val="fr-FR"/>
              </w:rPr>
              <w:t>République de Moldavie</w:t>
            </w:r>
          </w:p>
        </w:tc>
        <w:tc>
          <w:tcPr>
            <w:tcW w:w="1540" w:type="dxa"/>
            <w:tcBorders>
              <w:top w:val="nil"/>
              <w:left w:val="nil"/>
              <w:bottom w:val="single" w:sz="4" w:space="0" w:color="auto"/>
              <w:right w:val="single" w:sz="4" w:space="0" w:color="auto"/>
            </w:tcBorders>
            <w:shd w:val="clear" w:color="auto" w:fill="auto"/>
            <w:vAlign w:val="center"/>
            <w:hideMark/>
          </w:tcPr>
          <w:p w14:paraId="342E95A9"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7A304C0F"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29E2C939"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428</w:t>
            </w:r>
          </w:p>
        </w:tc>
      </w:tr>
      <w:tr w:rsidR="0032335C" w:rsidRPr="00C63A39" w14:paraId="49AAC877"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620F6CC3" w14:textId="7919ED4D" w:rsidR="0032335C" w:rsidRPr="00C63A39" w:rsidRDefault="0032335C" w:rsidP="0032335C">
            <w:pPr>
              <w:rPr>
                <w:color w:val="000000"/>
                <w:kern w:val="22"/>
                <w:szCs w:val="22"/>
                <w:lang w:val="fr-FR" w:eastAsia="en-CA"/>
              </w:rPr>
            </w:pPr>
            <w:r w:rsidRPr="00C63A39">
              <w:rPr>
                <w:szCs w:val="22"/>
                <w:lang w:val="fr-FR"/>
              </w:rPr>
              <w:t>Roumanie</w:t>
            </w:r>
          </w:p>
        </w:tc>
        <w:tc>
          <w:tcPr>
            <w:tcW w:w="1540" w:type="dxa"/>
            <w:tcBorders>
              <w:top w:val="nil"/>
              <w:left w:val="nil"/>
              <w:bottom w:val="single" w:sz="4" w:space="0" w:color="auto"/>
              <w:right w:val="single" w:sz="4" w:space="0" w:color="auto"/>
            </w:tcBorders>
            <w:shd w:val="clear" w:color="auto" w:fill="auto"/>
            <w:vAlign w:val="center"/>
            <w:hideMark/>
          </w:tcPr>
          <w:p w14:paraId="04CC55E0"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0.198 </w:t>
            </w:r>
          </w:p>
        </w:tc>
        <w:tc>
          <w:tcPr>
            <w:tcW w:w="1540" w:type="dxa"/>
            <w:tcBorders>
              <w:top w:val="nil"/>
              <w:left w:val="nil"/>
              <w:bottom w:val="single" w:sz="4" w:space="0" w:color="auto"/>
              <w:right w:val="single" w:sz="4" w:space="0" w:color="auto"/>
            </w:tcBorders>
            <w:shd w:val="clear" w:color="auto" w:fill="auto"/>
            <w:noWrap/>
            <w:vAlign w:val="center"/>
            <w:hideMark/>
          </w:tcPr>
          <w:p w14:paraId="2E072E78"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0.248 </w:t>
            </w:r>
          </w:p>
        </w:tc>
        <w:tc>
          <w:tcPr>
            <w:tcW w:w="1540" w:type="dxa"/>
            <w:tcBorders>
              <w:top w:val="nil"/>
              <w:left w:val="nil"/>
              <w:bottom w:val="single" w:sz="4" w:space="0" w:color="auto"/>
              <w:right w:val="single" w:sz="4" w:space="0" w:color="auto"/>
            </w:tcBorders>
            <w:shd w:val="clear" w:color="auto" w:fill="auto"/>
            <w:noWrap/>
            <w:vAlign w:val="center"/>
            <w:hideMark/>
          </w:tcPr>
          <w:p w14:paraId="648E7EFE"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28,227</w:t>
            </w:r>
          </w:p>
        </w:tc>
      </w:tr>
      <w:tr w:rsidR="0032335C" w:rsidRPr="00C63A39" w14:paraId="643F3C72"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37D9502D" w14:textId="209D6BD3" w:rsidR="0032335C" w:rsidRPr="00C63A39" w:rsidRDefault="0032335C" w:rsidP="0032335C">
            <w:pPr>
              <w:rPr>
                <w:color w:val="000000"/>
                <w:kern w:val="22"/>
                <w:szCs w:val="22"/>
                <w:lang w:val="fr-FR" w:eastAsia="en-CA"/>
              </w:rPr>
            </w:pPr>
            <w:r w:rsidRPr="00C63A39">
              <w:rPr>
                <w:szCs w:val="22"/>
                <w:lang w:val="fr-FR"/>
              </w:rPr>
              <w:t>Fédération de Russie</w:t>
            </w:r>
          </w:p>
        </w:tc>
        <w:tc>
          <w:tcPr>
            <w:tcW w:w="1540" w:type="dxa"/>
            <w:tcBorders>
              <w:top w:val="nil"/>
              <w:left w:val="nil"/>
              <w:bottom w:val="single" w:sz="4" w:space="0" w:color="auto"/>
              <w:right w:val="single" w:sz="4" w:space="0" w:color="auto"/>
            </w:tcBorders>
            <w:shd w:val="clear" w:color="auto" w:fill="auto"/>
            <w:vAlign w:val="center"/>
            <w:hideMark/>
          </w:tcPr>
          <w:p w14:paraId="26E5AB1C"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2.405 </w:t>
            </w:r>
          </w:p>
        </w:tc>
        <w:tc>
          <w:tcPr>
            <w:tcW w:w="1540" w:type="dxa"/>
            <w:tcBorders>
              <w:top w:val="nil"/>
              <w:left w:val="nil"/>
              <w:bottom w:val="single" w:sz="4" w:space="0" w:color="auto"/>
              <w:right w:val="single" w:sz="4" w:space="0" w:color="auto"/>
            </w:tcBorders>
            <w:shd w:val="clear" w:color="auto" w:fill="auto"/>
            <w:noWrap/>
            <w:vAlign w:val="center"/>
            <w:hideMark/>
          </w:tcPr>
          <w:p w14:paraId="53E22611"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3.007 </w:t>
            </w:r>
          </w:p>
        </w:tc>
        <w:tc>
          <w:tcPr>
            <w:tcW w:w="1540" w:type="dxa"/>
            <w:tcBorders>
              <w:top w:val="nil"/>
              <w:left w:val="nil"/>
              <w:bottom w:val="single" w:sz="4" w:space="0" w:color="auto"/>
              <w:right w:val="single" w:sz="4" w:space="0" w:color="auto"/>
            </w:tcBorders>
            <w:shd w:val="clear" w:color="auto" w:fill="auto"/>
            <w:noWrap/>
            <w:vAlign w:val="center"/>
            <w:hideMark/>
          </w:tcPr>
          <w:p w14:paraId="25DB2C4D"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342,855</w:t>
            </w:r>
          </w:p>
        </w:tc>
      </w:tr>
      <w:tr w:rsidR="0032335C" w:rsidRPr="00C63A39" w14:paraId="29390CCE"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68FEBD46" w14:textId="3AD7E3A8" w:rsidR="0032335C" w:rsidRPr="00C63A39" w:rsidRDefault="0032335C" w:rsidP="0032335C">
            <w:pPr>
              <w:rPr>
                <w:color w:val="000000"/>
                <w:kern w:val="22"/>
                <w:szCs w:val="22"/>
                <w:lang w:val="fr-FR" w:eastAsia="en-CA"/>
              </w:rPr>
            </w:pPr>
            <w:r w:rsidRPr="00C63A39">
              <w:rPr>
                <w:szCs w:val="22"/>
                <w:lang w:val="fr-FR"/>
              </w:rPr>
              <w:t>Rwanda</w:t>
            </w:r>
          </w:p>
        </w:tc>
        <w:tc>
          <w:tcPr>
            <w:tcW w:w="1540" w:type="dxa"/>
            <w:tcBorders>
              <w:top w:val="nil"/>
              <w:left w:val="nil"/>
              <w:bottom w:val="single" w:sz="4" w:space="0" w:color="auto"/>
              <w:right w:val="single" w:sz="4" w:space="0" w:color="auto"/>
            </w:tcBorders>
            <w:shd w:val="clear" w:color="auto" w:fill="auto"/>
            <w:vAlign w:val="center"/>
            <w:hideMark/>
          </w:tcPr>
          <w:p w14:paraId="0FB01ACC"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7200BAF4"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21112159"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428</w:t>
            </w:r>
          </w:p>
        </w:tc>
      </w:tr>
      <w:tr w:rsidR="0032335C" w:rsidRPr="00C63A39" w14:paraId="37CE2F28"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0CACFA87" w14:textId="0DB5FFD0" w:rsidR="0032335C" w:rsidRPr="00C63A39" w:rsidRDefault="0032335C" w:rsidP="0032335C">
            <w:pPr>
              <w:rPr>
                <w:color w:val="000000"/>
                <w:kern w:val="22"/>
                <w:szCs w:val="22"/>
                <w:lang w:val="fr-FR" w:eastAsia="en-CA"/>
              </w:rPr>
            </w:pPr>
            <w:r w:rsidRPr="00C63A39">
              <w:rPr>
                <w:szCs w:val="22"/>
                <w:lang w:val="fr-FR"/>
              </w:rPr>
              <w:t>Saint-Christophe-et-Nevis</w:t>
            </w:r>
          </w:p>
        </w:tc>
        <w:tc>
          <w:tcPr>
            <w:tcW w:w="1540" w:type="dxa"/>
            <w:tcBorders>
              <w:top w:val="nil"/>
              <w:left w:val="nil"/>
              <w:bottom w:val="single" w:sz="4" w:space="0" w:color="auto"/>
              <w:right w:val="single" w:sz="4" w:space="0" w:color="auto"/>
            </w:tcBorders>
            <w:shd w:val="clear" w:color="auto" w:fill="auto"/>
            <w:vAlign w:val="center"/>
            <w:hideMark/>
          </w:tcPr>
          <w:p w14:paraId="6313CFA7"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0A1225DE"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75437436"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143</w:t>
            </w:r>
          </w:p>
        </w:tc>
      </w:tr>
      <w:tr w:rsidR="0032335C" w:rsidRPr="00C63A39" w14:paraId="143FE5C1"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7BF3EEF7" w14:textId="5D749FFF" w:rsidR="0032335C" w:rsidRPr="00C63A39" w:rsidRDefault="0032335C" w:rsidP="0032335C">
            <w:pPr>
              <w:rPr>
                <w:color w:val="000000"/>
                <w:kern w:val="22"/>
                <w:szCs w:val="22"/>
                <w:lang w:val="fr-FR" w:eastAsia="en-CA"/>
              </w:rPr>
            </w:pPr>
            <w:r w:rsidRPr="00C63A39">
              <w:rPr>
                <w:szCs w:val="22"/>
                <w:lang w:val="fr-FR"/>
              </w:rPr>
              <w:t>Sainte-Lucie</w:t>
            </w:r>
          </w:p>
        </w:tc>
        <w:tc>
          <w:tcPr>
            <w:tcW w:w="1540" w:type="dxa"/>
            <w:tcBorders>
              <w:top w:val="nil"/>
              <w:left w:val="nil"/>
              <w:bottom w:val="single" w:sz="4" w:space="0" w:color="auto"/>
              <w:right w:val="single" w:sz="4" w:space="0" w:color="auto"/>
            </w:tcBorders>
            <w:shd w:val="clear" w:color="auto" w:fill="auto"/>
            <w:vAlign w:val="center"/>
            <w:hideMark/>
          </w:tcPr>
          <w:p w14:paraId="582366FA"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6132585D"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6374D5EE"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143</w:t>
            </w:r>
          </w:p>
        </w:tc>
      </w:tr>
      <w:tr w:rsidR="0032335C" w:rsidRPr="00C63A39" w14:paraId="10E9C49F"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725DCBDE" w14:textId="2D02755B" w:rsidR="0032335C" w:rsidRPr="00C63A39" w:rsidRDefault="0032335C" w:rsidP="0032335C">
            <w:pPr>
              <w:rPr>
                <w:color w:val="000000"/>
                <w:kern w:val="22"/>
                <w:szCs w:val="22"/>
                <w:lang w:val="fr-FR" w:eastAsia="en-CA"/>
              </w:rPr>
            </w:pPr>
            <w:r w:rsidRPr="00C63A39">
              <w:rPr>
                <w:szCs w:val="22"/>
                <w:lang w:val="fr-FR"/>
              </w:rPr>
              <w:t>Saint Vincent et les Grenadines</w:t>
            </w:r>
          </w:p>
        </w:tc>
        <w:tc>
          <w:tcPr>
            <w:tcW w:w="1540" w:type="dxa"/>
            <w:tcBorders>
              <w:top w:val="nil"/>
              <w:left w:val="nil"/>
              <w:bottom w:val="single" w:sz="4" w:space="0" w:color="auto"/>
              <w:right w:val="single" w:sz="4" w:space="0" w:color="auto"/>
            </w:tcBorders>
            <w:shd w:val="clear" w:color="auto" w:fill="auto"/>
            <w:vAlign w:val="center"/>
            <w:hideMark/>
          </w:tcPr>
          <w:p w14:paraId="1362EAAE"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54D1BF65"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0DA869A6"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143</w:t>
            </w:r>
          </w:p>
        </w:tc>
      </w:tr>
      <w:tr w:rsidR="0032335C" w:rsidRPr="00C63A39" w14:paraId="26C57B37"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7328CDE4" w14:textId="509CDF3B" w:rsidR="0032335C" w:rsidRPr="00C63A39" w:rsidRDefault="0032335C" w:rsidP="0032335C">
            <w:pPr>
              <w:rPr>
                <w:color w:val="000000"/>
                <w:kern w:val="22"/>
                <w:szCs w:val="22"/>
                <w:lang w:val="fr-FR" w:eastAsia="en-CA"/>
              </w:rPr>
            </w:pPr>
            <w:r w:rsidRPr="00C63A39">
              <w:rPr>
                <w:szCs w:val="22"/>
                <w:lang w:val="fr-FR"/>
              </w:rPr>
              <w:t>Samoa</w:t>
            </w:r>
          </w:p>
        </w:tc>
        <w:tc>
          <w:tcPr>
            <w:tcW w:w="1540" w:type="dxa"/>
            <w:tcBorders>
              <w:top w:val="nil"/>
              <w:left w:val="nil"/>
              <w:bottom w:val="single" w:sz="4" w:space="0" w:color="auto"/>
              <w:right w:val="single" w:sz="4" w:space="0" w:color="auto"/>
            </w:tcBorders>
            <w:shd w:val="clear" w:color="auto" w:fill="auto"/>
            <w:vAlign w:val="center"/>
            <w:hideMark/>
          </w:tcPr>
          <w:p w14:paraId="7F6FA4A0"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790B979E"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4CC46E3A"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143</w:t>
            </w:r>
          </w:p>
        </w:tc>
      </w:tr>
      <w:tr w:rsidR="0032335C" w:rsidRPr="00C63A39" w14:paraId="179AC7F9"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0114C626" w14:textId="292EDA88" w:rsidR="0032335C" w:rsidRPr="00C63A39" w:rsidRDefault="0032335C" w:rsidP="0032335C">
            <w:pPr>
              <w:rPr>
                <w:color w:val="000000"/>
                <w:kern w:val="22"/>
                <w:szCs w:val="22"/>
                <w:lang w:val="fr-FR" w:eastAsia="en-CA"/>
              </w:rPr>
            </w:pPr>
            <w:r w:rsidRPr="00C63A39">
              <w:rPr>
                <w:szCs w:val="22"/>
                <w:lang w:val="fr-FR"/>
              </w:rPr>
              <w:t>Saint-Marin</w:t>
            </w:r>
          </w:p>
        </w:tc>
        <w:tc>
          <w:tcPr>
            <w:tcW w:w="1540" w:type="dxa"/>
            <w:tcBorders>
              <w:top w:val="nil"/>
              <w:left w:val="nil"/>
              <w:bottom w:val="single" w:sz="4" w:space="0" w:color="auto"/>
              <w:right w:val="single" w:sz="4" w:space="0" w:color="auto"/>
            </w:tcBorders>
            <w:shd w:val="clear" w:color="auto" w:fill="auto"/>
            <w:vAlign w:val="center"/>
            <w:hideMark/>
          </w:tcPr>
          <w:p w14:paraId="15025921"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1621F8BF"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30506761"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285</w:t>
            </w:r>
          </w:p>
        </w:tc>
      </w:tr>
      <w:tr w:rsidR="0032335C" w:rsidRPr="00C63A39" w14:paraId="000D209D"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27F6617B" w14:textId="1437FE42" w:rsidR="0032335C" w:rsidRPr="00C63A39" w:rsidRDefault="0032335C" w:rsidP="0032335C">
            <w:pPr>
              <w:rPr>
                <w:color w:val="000000"/>
                <w:kern w:val="22"/>
                <w:szCs w:val="22"/>
                <w:lang w:val="fr-FR" w:eastAsia="en-CA"/>
              </w:rPr>
            </w:pPr>
            <w:r w:rsidRPr="00C63A39">
              <w:rPr>
                <w:szCs w:val="22"/>
                <w:lang w:val="fr-FR"/>
              </w:rPr>
              <w:t>S</w:t>
            </w:r>
            <w:r w:rsidR="00C51A89" w:rsidRPr="00C63A39">
              <w:rPr>
                <w:szCs w:val="22"/>
                <w:lang w:val="fr-FR"/>
              </w:rPr>
              <w:t>ão Tomé et Prí</w:t>
            </w:r>
            <w:r w:rsidRPr="00C63A39">
              <w:rPr>
                <w:szCs w:val="22"/>
                <w:lang w:val="fr-FR"/>
              </w:rPr>
              <w:t>ncipe</w:t>
            </w:r>
          </w:p>
        </w:tc>
        <w:tc>
          <w:tcPr>
            <w:tcW w:w="1540" w:type="dxa"/>
            <w:tcBorders>
              <w:top w:val="nil"/>
              <w:left w:val="nil"/>
              <w:bottom w:val="single" w:sz="4" w:space="0" w:color="auto"/>
              <w:right w:val="single" w:sz="4" w:space="0" w:color="auto"/>
            </w:tcBorders>
            <w:shd w:val="clear" w:color="auto" w:fill="auto"/>
            <w:vAlign w:val="center"/>
            <w:hideMark/>
          </w:tcPr>
          <w:p w14:paraId="3206687D"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3AE35977"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3EEC0874"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143</w:t>
            </w:r>
          </w:p>
        </w:tc>
      </w:tr>
      <w:tr w:rsidR="0032335C" w:rsidRPr="00C63A39" w14:paraId="0738C003"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12A8CBAE" w14:textId="0D9BEA1D" w:rsidR="0032335C" w:rsidRPr="00C63A39" w:rsidRDefault="0032335C" w:rsidP="0032335C">
            <w:pPr>
              <w:rPr>
                <w:color w:val="000000"/>
                <w:kern w:val="22"/>
                <w:szCs w:val="22"/>
                <w:lang w:val="fr-FR" w:eastAsia="en-CA"/>
              </w:rPr>
            </w:pPr>
            <w:r w:rsidRPr="00C63A39">
              <w:rPr>
                <w:szCs w:val="22"/>
                <w:lang w:val="fr-FR"/>
              </w:rPr>
              <w:t>Arabie Saoudite</w:t>
            </w:r>
          </w:p>
        </w:tc>
        <w:tc>
          <w:tcPr>
            <w:tcW w:w="1540" w:type="dxa"/>
            <w:tcBorders>
              <w:top w:val="nil"/>
              <w:left w:val="nil"/>
              <w:bottom w:val="single" w:sz="4" w:space="0" w:color="auto"/>
              <w:right w:val="single" w:sz="4" w:space="0" w:color="auto"/>
            </w:tcBorders>
            <w:shd w:val="clear" w:color="auto" w:fill="auto"/>
            <w:vAlign w:val="center"/>
            <w:hideMark/>
          </w:tcPr>
          <w:p w14:paraId="709A7EDE"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1.172 </w:t>
            </w:r>
          </w:p>
        </w:tc>
        <w:tc>
          <w:tcPr>
            <w:tcW w:w="1540" w:type="dxa"/>
            <w:tcBorders>
              <w:top w:val="nil"/>
              <w:left w:val="nil"/>
              <w:bottom w:val="single" w:sz="4" w:space="0" w:color="auto"/>
              <w:right w:val="single" w:sz="4" w:space="0" w:color="auto"/>
            </w:tcBorders>
            <w:shd w:val="clear" w:color="auto" w:fill="auto"/>
            <w:noWrap/>
            <w:vAlign w:val="center"/>
            <w:hideMark/>
          </w:tcPr>
          <w:p w14:paraId="7201FC08"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1.465 </w:t>
            </w:r>
          </w:p>
        </w:tc>
        <w:tc>
          <w:tcPr>
            <w:tcW w:w="1540" w:type="dxa"/>
            <w:tcBorders>
              <w:top w:val="nil"/>
              <w:left w:val="nil"/>
              <w:bottom w:val="single" w:sz="4" w:space="0" w:color="auto"/>
              <w:right w:val="single" w:sz="4" w:space="0" w:color="auto"/>
            </w:tcBorders>
            <w:shd w:val="clear" w:color="auto" w:fill="auto"/>
            <w:noWrap/>
            <w:vAlign w:val="center"/>
            <w:hideMark/>
          </w:tcPr>
          <w:p w14:paraId="512EB092"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167,080</w:t>
            </w:r>
          </w:p>
        </w:tc>
      </w:tr>
      <w:tr w:rsidR="0032335C" w:rsidRPr="00C63A39" w14:paraId="30E316EC"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272AE6F1" w14:textId="5725526D" w:rsidR="0032335C" w:rsidRPr="00C63A39" w:rsidRDefault="0032335C" w:rsidP="0032335C">
            <w:pPr>
              <w:rPr>
                <w:color w:val="000000"/>
                <w:kern w:val="22"/>
                <w:szCs w:val="22"/>
                <w:lang w:val="fr-FR" w:eastAsia="en-CA"/>
              </w:rPr>
            </w:pPr>
            <w:r w:rsidRPr="00C63A39">
              <w:rPr>
                <w:szCs w:val="22"/>
                <w:lang w:val="fr-FR"/>
              </w:rPr>
              <w:t>Sénégal</w:t>
            </w:r>
          </w:p>
        </w:tc>
        <w:tc>
          <w:tcPr>
            <w:tcW w:w="1540" w:type="dxa"/>
            <w:tcBorders>
              <w:top w:val="nil"/>
              <w:left w:val="nil"/>
              <w:bottom w:val="single" w:sz="4" w:space="0" w:color="auto"/>
              <w:right w:val="single" w:sz="4" w:space="0" w:color="auto"/>
            </w:tcBorders>
            <w:shd w:val="clear" w:color="auto" w:fill="auto"/>
            <w:vAlign w:val="center"/>
            <w:hideMark/>
          </w:tcPr>
          <w:p w14:paraId="33EA79B4"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14:paraId="454BB32D"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14:paraId="04259573"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998</w:t>
            </w:r>
          </w:p>
        </w:tc>
      </w:tr>
      <w:tr w:rsidR="0032335C" w:rsidRPr="00C63A39" w14:paraId="183CFFDB"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12F333C7" w14:textId="7540848D" w:rsidR="0032335C" w:rsidRPr="00C63A39" w:rsidRDefault="0032335C" w:rsidP="0032335C">
            <w:pPr>
              <w:rPr>
                <w:color w:val="000000"/>
                <w:kern w:val="22"/>
                <w:szCs w:val="22"/>
                <w:lang w:val="fr-FR" w:eastAsia="en-CA"/>
              </w:rPr>
            </w:pPr>
            <w:r w:rsidRPr="00C63A39">
              <w:rPr>
                <w:szCs w:val="22"/>
                <w:lang w:val="fr-FR"/>
              </w:rPr>
              <w:t>Serbie</w:t>
            </w:r>
          </w:p>
        </w:tc>
        <w:tc>
          <w:tcPr>
            <w:tcW w:w="1540" w:type="dxa"/>
            <w:tcBorders>
              <w:top w:val="nil"/>
              <w:left w:val="nil"/>
              <w:bottom w:val="single" w:sz="4" w:space="0" w:color="auto"/>
              <w:right w:val="single" w:sz="4" w:space="0" w:color="auto"/>
            </w:tcBorders>
            <w:shd w:val="clear" w:color="auto" w:fill="auto"/>
            <w:vAlign w:val="center"/>
            <w:hideMark/>
          </w:tcPr>
          <w:p w14:paraId="17161D2E"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0.028 </w:t>
            </w:r>
          </w:p>
        </w:tc>
        <w:tc>
          <w:tcPr>
            <w:tcW w:w="1540" w:type="dxa"/>
            <w:tcBorders>
              <w:top w:val="nil"/>
              <w:left w:val="nil"/>
              <w:bottom w:val="single" w:sz="4" w:space="0" w:color="auto"/>
              <w:right w:val="single" w:sz="4" w:space="0" w:color="auto"/>
            </w:tcBorders>
            <w:shd w:val="clear" w:color="auto" w:fill="auto"/>
            <w:noWrap/>
            <w:vAlign w:val="center"/>
            <w:hideMark/>
          </w:tcPr>
          <w:p w14:paraId="466A36EA"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0.035 </w:t>
            </w:r>
          </w:p>
        </w:tc>
        <w:tc>
          <w:tcPr>
            <w:tcW w:w="1540" w:type="dxa"/>
            <w:tcBorders>
              <w:top w:val="nil"/>
              <w:left w:val="nil"/>
              <w:bottom w:val="single" w:sz="4" w:space="0" w:color="auto"/>
              <w:right w:val="single" w:sz="4" w:space="0" w:color="auto"/>
            </w:tcBorders>
            <w:shd w:val="clear" w:color="auto" w:fill="auto"/>
            <w:noWrap/>
            <w:vAlign w:val="center"/>
            <w:hideMark/>
          </w:tcPr>
          <w:p w14:paraId="73C99A9A"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3,992</w:t>
            </w:r>
          </w:p>
        </w:tc>
      </w:tr>
      <w:tr w:rsidR="0032335C" w:rsidRPr="00C63A39" w14:paraId="13D24532"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77303C69" w14:textId="31404DE8" w:rsidR="0032335C" w:rsidRPr="00C63A39" w:rsidRDefault="0032335C" w:rsidP="0032335C">
            <w:pPr>
              <w:rPr>
                <w:color w:val="000000"/>
                <w:kern w:val="22"/>
                <w:szCs w:val="22"/>
                <w:lang w:val="fr-FR" w:eastAsia="en-CA"/>
              </w:rPr>
            </w:pPr>
            <w:r w:rsidRPr="00C63A39">
              <w:rPr>
                <w:szCs w:val="22"/>
                <w:lang w:val="fr-FR"/>
              </w:rPr>
              <w:t>Seychelles</w:t>
            </w:r>
          </w:p>
        </w:tc>
        <w:tc>
          <w:tcPr>
            <w:tcW w:w="1540" w:type="dxa"/>
            <w:tcBorders>
              <w:top w:val="nil"/>
              <w:left w:val="nil"/>
              <w:bottom w:val="single" w:sz="4" w:space="0" w:color="auto"/>
              <w:right w:val="single" w:sz="4" w:space="0" w:color="auto"/>
            </w:tcBorders>
            <w:shd w:val="clear" w:color="auto" w:fill="auto"/>
            <w:vAlign w:val="center"/>
            <w:hideMark/>
          </w:tcPr>
          <w:p w14:paraId="108A8FC5"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2EBA235A"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35EB02AC"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285</w:t>
            </w:r>
          </w:p>
        </w:tc>
      </w:tr>
      <w:tr w:rsidR="0032335C" w:rsidRPr="00C63A39" w14:paraId="6832D43A"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04B5584C" w14:textId="1FD4A3BA" w:rsidR="0032335C" w:rsidRPr="00C63A39" w:rsidRDefault="0032335C" w:rsidP="0032335C">
            <w:pPr>
              <w:rPr>
                <w:color w:val="000000"/>
                <w:kern w:val="22"/>
                <w:szCs w:val="22"/>
                <w:lang w:val="fr-FR" w:eastAsia="en-CA"/>
              </w:rPr>
            </w:pPr>
            <w:r w:rsidRPr="00C63A39">
              <w:rPr>
                <w:szCs w:val="22"/>
                <w:lang w:val="fr-FR"/>
              </w:rPr>
              <w:t>Sierra Leone</w:t>
            </w:r>
          </w:p>
        </w:tc>
        <w:tc>
          <w:tcPr>
            <w:tcW w:w="1540" w:type="dxa"/>
            <w:tcBorders>
              <w:top w:val="nil"/>
              <w:left w:val="nil"/>
              <w:bottom w:val="single" w:sz="4" w:space="0" w:color="auto"/>
              <w:right w:val="single" w:sz="4" w:space="0" w:color="auto"/>
            </w:tcBorders>
            <w:shd w:val="clear" w:color="auto" w:fill="auto"/>
            <w:vAlign w:val="center"/>
            <w:hideMark/>
          </w:tcPr>
          <w:p w14:paraId="3C0919E0"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44327E0B"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601A3367"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143</w:t>
            </w:r>
          </w:p>
        </w:tc>
      </w:tr>
      <w:tr w:rsidR="0032335C" w:rsidRPr="00C63A39" w14:paraId="73185055"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01049ECC" w14:textId="17E5C925" w:rsidR="0032335C" w:rsidRPr="00C63A39" w:rsidRDefault="0032335C" w:rsidP="0032335C">
            <w:pPr>
              <w:rPr>
                <w:color w:val="000000"/>
                <w:kern w:val="22"/>
                <w:szCs w:val="22"/>
                <w:lang w:val="fr-FR" w:eastAsia="en-CA"/>
              </w:rPr>
            </w:pPr>
            <w:r w:rsidRPr="00C63A39">
              <w:rPr>
                <w:szCs w:val="22"/>
                <w:lang w:val="fr-FR"/>
              </w:rPr>
              <w:t>Singapour</w:t>
            </w:r>
          </w:p>
        </w:tc>
        <w:tc>
          <w:tcPr>
            <w:tcW w:w="1540" w:type="dxa"/>
            <w:tcBorders>
              <w:top w:val="nil"/>
              <w:left w:val="nil"/>
              <w:bottom w:val="single" w:sz="4" w:space="0" w:color="auto"/>
              <w:right w:val="single" w:sz="4" w:space="0" w:color="auto"/>
            </w:tcBorders>
            <w:shd w:val="clear" w:color="auto" w:fill="auto"/>
            <w:vAlign w:val="center"/>
            <w:hideMark/>
          </w:tcPr>
          <w:p w14:paraId="294CB6E7"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0.485 </w:t>
            </w:r>
          </w:p>
        </w:tc>
        <w:tc>
          <w:tcPr>
            <w:tcW w:w="1540" w:type="dxa"/>
            <w:tcBorders>
              <w:top w:val="nil"/>
              <w:left w:val="nil"/>
              <w:bottom w:val="single" w:sz="4" w:space="0" w:color="auto"/>
              <w:right w:val="single" w:sz="4" w:space="0" w:color="auto"/>
            </w:tcBorders>
            <w:shd w:val="clear" w:color="auto" w:fill="auto"/>
            <w:noWrap/>
            <w:vAlign w:val="center"/>
            <w:hideMark/>
          </w:tcPr>
          <w:p w14:paraId="7F1177A2"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0.606 </w:t>
            </w:r>
          </w:p>
        </w:tc>
        <w:tc>
          <w:tcPr>
            <w:tcW w:w="1540" w:type="dxa"/>
            <w:tcBorders>
              <w:top w:val="nil"/>
              <w:left w:val="nil"/>
              <w:bottom w:val="single" w:sz="4" w:space="0" w:color="auto"/>
              <w:right w:val="single" w:sz="4" w:space="0" w:color="auto"/>
            </w:tcBorders>
            <w:shd w:val="clear" w:color="auto" w:fill="auto"/>
            <w:noWrap/>
            <w:vAlign w:val="center"/>
            <w:hideMark/>
          </w:tcPr>
          <w:p w14:paraId="5C2784A3"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69,141</w:t>
            </w:r>
          </w:p>
        </w:tc>
      </w:tr>
      <w:tr w:rsidR="0032335C" w:rsidRPr="00C63A39" w14:paraId="3FB7C2CD"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06CEB508" w14:textId="05AF01BA" w:rsidR="0032335C" w:rsidRPr="00C63A39" w:rsidRDefault="0032335C" w:rsidP="0032335C">
            <w:pPr>
              <w:rPr>
                <w:color w:val="000000"/>
                <w:kern w:val="22"/>
                <w:szCs w:val="22"/>
                <w:lang w:val="fr-FR" w:eastAsia="en-CA"/>
              </w:rPr>
            </w:pPr>
            <w:r w:rsidRPr="00C63A39">
              <w:rPr>
                <w:szCs w:val="22"/>
                <w:lang w:val="fr-FR"/>
              </w:rPr>
              <w:t>Slovaquie</w:t>
            </w:r>
          </w:p>
        </w:tc>
        <w:tc>
          <w:tcPr>
            <w:tcW w:w="1540" w:type="dxa"/>
            <w:tcBorders>
              <w:top w:val="nil"/>
              <w:left w:val="nil"/>
              <w:bottom w:val="single" w:sz="4" w:space="0" w:color="auto"/>
              <w:right w:val="single" w:sz="4" w:space="0" w:color="auto"/>
            </w:tcBorders>
            <w:shd w:val="clear" w:color="auto" w:fill="auto"/>
            <w:vAlign w:val="center"/>
            <w:hideMark/>
          </w:tcPr>
          <w:p w14:paraId="4303B9F7"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0.153 </w:t>
            </w:r>
          </w:p>
        </w:tc>
        <w:tc>
          <w:tcPr>
            <w:tcW w:w="1540" w:type="dxa"/>
            <w:tcBorders>
              <w:top w:val="nil"/>
              <w:left w:val="nil"/>
              <w:bottom w:val="single" w:sz="4" w:space="0" w:color="auto"/>
              <w:right w:val="single" w:sz="4" w:space="0" w:color="auto"/>
            </w:tcBorders>
            <w:shd w:val="clear" w:color="auto" w:fill="auto"/>
            <w:noWrap/>
            <w:vAlign w:val="center"/>
            <w:hideMark/>
          </w:tcPr>
          <w:p w14:paraId="01020C34"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0.191 </w:t>
            </w:r>
          </w:p>
        </w:tc>
        <w:tc>
          <w:tcPr>
            <w:tcW w:w="1540" w:type="dxa"/>
            <w:tcBorders>
              <w:top w:val="nil"/>
              <w:left w:val="nil"/>
              <w:bottom w:val="single" w:sz="4" w:space="0" w:color="auto"/>
              <w:right w:val="single" w:sz="4" w:space="0" w:color="auto"/>
            </w:tcBorders>
            <w:shd w:val="clear" w:color="auto" w:fill="auto"/>
            <w:noWrap/>
            <w:vAlign w:val="center"/>
            <w:hideMark/>
          </w:tcPr>
          <w:p w14:paraId="469AE7B4"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21,812</w:t>
            </w:r>
          </w:p>
        </w:tc>
      </w:tr>
      <w:tr w:rsidR="0032335C" w:rsidRPr="00C63A39" w14:paraId="47C30E60"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07B912AF" w14:textId="69F9148D" w:rsidR="0032335C" w:rsidRPr="00C63A39" w:rsidRDefault="0032335C" w:rsidP="0032335C">
            <w:pPr>
              <w:rPr>
                <w:color w:val="000000"/>
                <w:kern w:val="22"/>
                <w:szCs w:val="22"/>
                <w:lang w:val="fr-FR" w:eastAsia="en-CA"/>
              </w:rPr>
            </w:pPr>
            <w:r w:rsidRPr="00C63A39">
              <w:rPr>
                <w:szCs w:val="22"/>
                <w:lang w:val="fr-FR"/>
              </w:rPr>
              <w:t>Slovénie</w:t>
            </w:r>
          </w:p>
        </w:tc>
        <w:tc>
          <w:tcPr>
            <w:tcW w:w="1540" w:type="dxa"/>
            <w:tcBorders>
              <w:top w:val="nil"/>
              <w:left w:val="nil"/>
              <w:bottom w:val="single" w:sz="4" w:space="0" w:color="auto"/>
              <w:right w:val="single" w:sz="4" w:space="0" w:color="auto"/>
            </w:tcBorders>
            <w:shd w:val="clear" w:color="auto" w:fill="auto"/>
            <w:vAlign w:val="center"/>
            <w:hideMark/>
          </w:tcPr>
          <w:p w14:paraId="620E7FBD"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0.076 </w:t>
            </w:r>
          </w:p>
        </w:tc>
        <w:tc>
          <w:tcPr>
            <w:tcW w:w="1540" w:type="dxa"/>
            <w:tcBorders>
              <w:top w:val="nil"/>
              <w:left w:val="nil"/>
              <w:bottom w:val="single" w:sz="4" w:space="0" w:color="auto"/>
              <w:right w:val="single" w:sz="4" w:space="0" w:color="auto"/>
            </w:tcBorders>
            <w:shd w:val="clear" w:color="auto" w:fill="auto"/>
            <w:noWrap/>
            <w:vAlign w:val="center"/>
            <w:hideMark/>
          </w:tcPr>
          <w:p w14:paraId="61477064"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0.095 </w:t>
            </w:r>
          </w:p>
        </w:tc>
        <w:tc>
          <w:tcPr>
            <w:tcW w:w="1540" w:type="dxa"/>
            <w:tcBorders>
              <w:top w:val="nil"/>
              <w:left w:val="nil"/>
              <w:bottom w:val="single" w:sz="4" w:space="0" w:color="auto"/>
              <w:right w:val="single" w:sz="4" w:space="0" w:color="auto"/>
            </w:tcBorders>
            <w:shd w:val="clear" w:color="auto" w:fill="auto"/>
            <w:noWrap/>
            <w:vAlign w:val="center"/>
            <w:hideMark/>
          </w:tcPr>
          <w:p w14:paraId="0CAF9A67"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10,835</w:t>
            </w:r>
          </w:p>
        </w:tc>
      </w:tr>
      <w:tr w:rsidR="0032335C" w:rsidRPr="00C63A39" w14:paraId="4E33BC26"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210B521E" w14:textId="0ABE03C8" w:rsidR="0032335C" w:rsidRPr="00C63A39" w:rsidRDefault="0032335C" w:rsidP="0032335C">
            <w:pPr>
              <w:rPr>
                <w:color w:val="000000"/>
                <w:kern w:val="22"/>
                <w:szCs w:val="22"/>
                <w:lang w:val="fr-FR" w:eastAsia="en-CA"/>
              </w:rPr>
            </w:pPr>
            <w:r w:rsidRPr="00C63A39">
              <w:rPr>
                <w:szCs w:val="22"/>
                <w:lang w:val="fr-FR"/>
              </w:rPr>
              <w:t>Îles Salomon</w:t>
            </w:r>
          </w:p>
        </w:tc>
        <w:tc>
          <w:tcPr>
            <w:tcW w:w="1540" w:type="dxa"/>
            <w:tcBorders>
              <w:top w:val="nil"/>
              <w:left w:val="nil"/>
              <w:bottom w:val="single" w:sz="4" w:space="0" w:color="auto"/>
              <w:right w:val="single" w:sz="4" w:space="0" w:color="auto"/>
            </w:tcBorders>
            <w:shd w:val="clear" w:color="auto" w:fill="auto"/>
            <w:vAlign w:val="center"/>
            <w:hideMark/>
          </w:tcPr>
          <w:p w14:paraId="4A5A0930"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7B1F4A6E"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7A774F8D"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143</w:t>
            </w:r>
          </w:p>
        </w:tc>
      </w:tr>
      <w:tr w:rsidR="0032335C" w:rsidRPr="00C63A39" w14:paraId="47A1D399"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31C5D53F" w14:textId="46A97CAF" w:rsidR="0032335C" w:rsidRPr="00C63A39" w:rsidRDefault="0032335C" w:rsidP="0032335C">
            <w:pPr>
              <w:rPr>
                <w:color w:val="000000"/>
                <w:kern w:val="22"/>
                <w:szCs w:val="22"/>
                <w:lang w:val="fr-FR" w:eastAsia="en-CA"/>
              </w:rPr>
            </w:pPr>
            <w:r w:rsidRPr="00C63A39">
              <w:rPr>
                <w:szCs w:val="22"/>
                <w:lang w:val="fr-FR"/>
              </w:rPr>
              <w:t>Somalie</w:t>
            </w:r>
          </w:p>
        </w:tc>
        <w:tc>
          <w:tcPr>
            <w:tcW w:w="1540" w:type="dxa"/>
            <w:tcBorders>
              <w:top w:val="nil"/>
              <w:left w:val="nil"/>
              <w:bottom w:val="single" w:sz="4" w:space="0" w:color="auto"/>
              <w:right w:val="single" w:sz="4" w:space="0" w:color="auto"/>
            </w:tcBorders>
            <w:shd w:val="clear" w:color="auto" w:fill="auto"/>
            <w:vAlign w:val="center"/>
            <w:hideMark/>
          </w:tcPr>
          <w:p w14:paraId="0D92AAC1"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4EAD71EC"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6EF85355"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143</w:t>
            </w:r>
          </w:p>
        </w:tc>
      </w:tr>
      <w:tr w:rsidR="0032335C" w:rsidRPr="00C63A39" w14:paraId="3BC0E066"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263F67D4" w14:textId="639CA43D" w:rsidR="0032335C" w:rsidRPr="00C63A39" w:rsidRDefault="0032335C" w:rsidP="0032335C">
            <w:pPr>
              <w:rPr>
                <w:color w:val="000000"/>
                <w:kern w:val="22"/>
                <w:szCs w:val="22"/>
                <w:lang w:val="fr-FR" w:eastAsia="en-CA"/>
              </w:rPr>
            </w:pPr>
            <w:r w:rsidRPr="00C63A39">
              <w:rPr>
                <w:szCs w:val="22"/>
                <w:lang w:val="fr-FR"/>
              </w:rPr>
              <w:t>Afrique du Sud</w:t>
            </w:r>
          </w:p>
        </w:tc>
        <w:tc>
          <w:tcPr>
            <w:tcW w:w="1540" w:type="dxa"/>
            <w:tcBorders>
              <w:top w:val="nil"/>
              <w:left w:val="nil"/>
              <w:bottom w:val="single" w:sz="4" w:space="0" w:color="auto"/>
              <w:right w:val="single" w:sz="4" w:space="0" w:color="auto"/>
            </w:tcBorders>
            <w:shd w:val="clear" w:color="auto" w:fill="auto"/>
            <w:vAlign w:val="center"/>
            <w:hideMark/>
          </w:tcPr>
          <w:p w14:paraId="697F0249"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0.272 </w:t>
            </w:r>
          </w:p>
        </w:tc>
        <w:tc>
          <w:tcPr>
            <w:tcW w:w="1540" w:type="dxa"/>
            <w:tcBorders>
              <w:top w:val="nil"/>
              <w:left w:val="nil"/>
              <w:bottom w:val="single" w:sz="4" w:space="0" w:color="auto"/>
              <w:right w:val="single" w:sz="4" w:space="0" w:color="auto"/>
            </w:tcBorders>
            <w:shd w:val="clear" w:color="auto" w:fill="auto"/>
            <w:noWrap/>
            <w:vAlign w:val="center"/>
            <w:hideMark/>
          </w:tcPr>
          <w:p w14:paraId="4887954B"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0.340 </w:t>
            </w:r>
          </w:p>
        </w:tc>
        <w:tc>
          <w:tcPr>
            <w:tcW w:w="1540" w:type="dxa"/>
            <w:tcBorders>
              <w:top w:val="nil"/>
              <w:left w:val="nil"/>
              <w:bottom w:val="single" w:sz="4" w:space="0" w:color="auto"/>
              <w:right w:val="single" w:sz="4" w:space="0" w:color="auto"/>
            </w:tcBorders>
            <w:shd w:val="clear" w:color="auto" w:fill="auto"/>
            <w:noWrap/>
            <w:vAlign w:val="center"/>
            <w:hideMark/>
          </w:tcPr>
          <w:p w14:paraId="147731DE"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38,776</w:t>
            </w:r>
          </w:p>
        </w:tc>
      </w:tr>
      <w:tr w:rsidR="0032335C" w:rsidRPr="00C63A39" w14:paraId="3B037F77"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716D7F38" w14:textId="71A2E40F" w:rsidR="0032335C" w:rsidRPr="00C63A39" w:rsidRDefault="0032335C" w:rsidP="0032335C">
            <w:pPr>
              <w:rPr>
                <w:color w:val="000000"/>
                <w:kern w:val="22"/>
                <w:szCs w:val="22"/>
                <w:lang w:val="fr-FR" w:eastAsia="en-CA"/>
              </w:rPr>
            </w:pPr>
            <w:r w:rsidRPr="00C63A39">
              <w:rPr>
                <w:szCs w:val="22"/>
                <w:lang w:val="fr-FR"/>
              </w:rPr>
              <w:t>Sud-Soudan</w:t>
            </w:r>
          </w:p>
        </w:tc>
        <w:tc>
          <w:tcPr>
            <w:tcW w:w="1540" w:type="dxa"/>
            <w:tcBorders>
              <w:top w:val="nil"/>
              <w:left w:val="nil"/>
              <w:bottom w:val="single" w:sz="4" w:space="0" w:color="auto"/>
              <w:right w:val="single" w:sz="4" w:space="0" w:color="auto"/>
            </w:tcBorders>
            <w:shd w:val="clear" w:color="auto" w:fill="auto"/>
            <w:vAlign w:val="center"/>
            <w:hideMark/>
          </w:tcPr>
          <w:p w14:paraId="10B68334"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14:paraId="44D41F1B"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0.008 </w:t>
            </w:r>
          </w:p>
        </w:tc>
        <w:tc>
          <w:tcPr>
            <w:tcW w:w="1540" w:type="dxa"/>
            <w:tcBorders>
              <w:top w:val="nil"/>
              <w:left w:val="nil"/>
              <w:bottom w:val="single" w:sz="4" w:space="0" w:color="auto"/>
              <w:right w:val="single" w:sz="4" w:space="0" w:color="auto"/>
            </w:tcBorders>
            <w:shd w:val="clear" w:color="auto" w:fill="auto"/>
            <w:noWrap/>
            <w:vAlign w:val="center"/>
            <w:hideMark/>
          </w:tcPr>
          <w:p w14:paraId="18BA3803"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855</w:t>
            </w:r>
          </w:p>
        </w:tc>
      </w:tr>
      <w:tr w:rsidR="0032335C" w:rsidRPr="00C63A39" w14:paraId="4CE3C032"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103DD0CD" w14:textId="4917CCDD" w:rsidR="0032335C" w:rsidRPr="00C63A39" w:rsidRDefault="0032335C" w:rsidP="0032335C">
            <w:pPr>
              <w:rPr>
                <w:color w:val="000000"/>
                <w:kern w:val="22"/>
                <w:szCs w:val="22"/>
                <w:lang w:val="fr-FR" w:eastAsia="en-CA"/>
              </w:rPr>
            </w:pPr>
            <w:r w:rsidRPr="00C63A39">
              <w:rPr>
                <w:szCs w:val="22"/>
                <w:lang w:val="fr-FR"/>
              </w:rPr>
              <w:t>Espagne</w:t>
            </w:r>
          </w:p>
        </w:tc>
        <w:tc>
          <w:tcPr>
            <w:tcW w:w="1540" w:type="dxa"/>
            <w:tcBorders>
              <w:top w:val="nil"/>
              <w:left w:val="nil"/>
              <w:bottom w:val="single" w:sz="4" w:space="0" w:color="auto"/>
              <w:right w:val="single" w:sz="4" w:space="0" w:color="auto"/>
            </w:tcBorders>
            <w:shd w:val="clear" w:color="auto" w:fill="auto"/>
            <w:vAlign w:val="center"/>
            <w:hideMark/>
          </w:tcPr>
          <w:p w14:paraId="2E7FF069"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2.146 </w:t>
            </w:r>
          </w:p>
        </w:tc>
        <w:tc>
          <w:tcPr>
            <w:tcW w:w="1540" w:type="dxa"/>
            <w:tcBorders>
              <w:top w:val="nil"/>
              <w:left w:val="nil"/>
              <w:bottom w:val="single" w:sz="4" w:space="0" w:color="auto"/>
              <w:right w:val="single" w:sz="4" w:space="0" w:color="auto"/>
            </w:tcBorders>
            <w:shd w:val="clear" w:color="auto" w:fill="auto"/>
            <w:noWrap/>
            <w:vAlign w:val="center"/>
            <w:hideMark/>
          </w:tcPr>
          <w:p w14:paraId="7D36BEDD"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2.683 </w:t>
            </w:r>
          </w:p>
        </w:tc>
        <w:tc>
          <w:tcPr>
            <w:tcW w:w="1540" w:type="dxa"/>
            <w:tcBorders>
              <w:top w:val="nil"/>
              <w:left w:val="nil"/>
              <w:bottom w:val="single" w:sz="4" w:space="0" w:color="auto"/>
              <w:right w:val="single" w:sz="4" w:space="0" w:color="auto"/>
            </w:tcBorders>
            <w:shd w:val="clear" w:color="auto" w:fill="auto"/>
            <w:noWrap/>
            <w:vAlign w:val="center"/>
            <w:hideMark/>
          </w:tcPr>
          <w:p w14:paraId="38451281"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305,932</w:t>
            </w:r>
          </w:p>
        </w:tc>
      </w:tr>
      <w:tr w:rsidR="0032335C" w:rsidRPr="00C63A39" w14:paraId="4E1C464A"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58511621" w14:textId="78D6EAA9" w:rsidR="0032335C" w:rsidRPr="00C63A39" w:rsidRDefault="0032335C" w:rsidP="0032335C">
            <w:pPr>
              <w:rPr>
                <w:color w:val="000000"/>
                <w:kern w:val="22"/>
                <w:szCs w:val="22"/>
                <w:lang w:val="fr-FR" w:eastAsia="en-CA"/>
              </w:rPr>
            </w:pPr>
            <w:r w:rsidRPr="00C63A39">
              <w:rPr>
                <w:szCs w:val="22"/>
                <w:lang w:val="fr-FR"/>
              </w:rPr>
              <w:t>Sri Lanka</w:t>
            </w:r>
          </w:p>
        </w:tc>
        <w:tc>
          <w:tcPr>
            <w:tcW w:w="1540" w:type="dxa"/>
            <w:tcBorders>
              <w:top w:val="nil"/>
              <w:left w:val="nil"/>
              <w:bottom w:val="single" w:sz="4" w:space="0" w:color="auto"/>
              <w:right w:val="single" w:sz="4" w:space="0" w:color="auto"/>
            </w:tcBorders>
            <w:shd w:val="clear" w:color="auto" w:fill="auto"/>
            <w:vAlign w:val="center"/>
            <w:hideMark/>
          </w:tcPr>
          <w:p w14:paraId="39CAD345"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0.044 </w:t>
            </w:r>
          </w:p>
        </w:tc>
        <w:tc>
          <w:tcPr>
            <w:tcW w:w="1540" w:type="dxa"/>
            <w:tcBorders>
              <w:top w:val="nil"/>
              <w:left w:val="nil"/>
              <w:bottom w:val="single" w:sz="4" w:space="0" w:color="auto"/>
              <w:right w:val="single" w:sz="4" w:space="0" w:color="auto"/>
            </w:tcBorders>
            <w:shd w:val="clear" w:color="auto" w:fill="auto"/>
            <w:noWrap/>
            <w:vAlign w:val="center"/>
            <w:hideMark/>
          </w:tcPr>
          <w:p w14:paraId="3517CB65"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0.055 </w:t>
            </w:r>
          </w:p>
        </w:tc>
        <w:tc>
          <w:tcPr>
            <w:tcW w:w="1540" w:type="dxa"/>
            <w:tcBorders>
              <w:top w:val="nil"/>
              <w:left w:val="nil"/>
              <w:bottom w:val="single" w:sz="4" w:space="0" w:color="auto"/>
              <w:right w:val="single" w:sz="4" w:space="0" w:color="auto"/>
            </w:tcBorders>
            <w:shd w:val="clear" w:color="auto" w:fill="auto"/>
            <w:noWrap/>
            <w:vAlign w:val="center"/>
            <w:hideMark/>
          </w:tcPr>
          <w:p w14:paraId="6CE2A68C"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6,273</w:t>
            </w:r>
          </w:p>
        </w:tc>
      </w:tr>
      <w:tr w:rsidR="0032335C" w:rsidRPr="00C63A39" w14:paraId="42903BE3"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2DC1616C" w14:textId="4AF873B5" w:rsidR="0032335C" w:rsidRPr="00C63A39" w:rsidRDefault="0032335C" w:rsidP="0032335C">
            <w:pPr>
              <w:rPr>
                <w:color w:val="000000"/>
                <w:kern w:val="22"/>
                <w:szCs w:val="22"/>
                <w:lang w:val="fr-FR" w:eastAsia="en-CA"/>
              </w:rPr>
            </w:pPr>
            <w:r w:rsidRPr="00C63A39">
              <w:rPr>
                <w:szCs w:val="22"/>
                <w:lang w:val="fr-FR"/>
              </w:rPr>
              <w:t>État de Palestine</w:t>
            </w:r>
          </w:p>
        </w:tc>
        <w:tc>
          <w:tcPr>
            <w:tcW w:w="1540" w:type="dxa"/>
            <w:tcBorders>
              <w:top w:val="nil"/>
              <w:left w:val="nil"/>
              <w:bottom w:val="single" w:sz="4" w:space="0" w:color="auto"/>
              <w:right w:val="single" w:sz="4" w:space="0" w:color="auto"/>
            </w:tcBorders>
            <w:shd w:val="clear" w:color="auto" w:fill="auto"/>
            <w:vAlign w:val="center"/>
            <w:hideMark/>
          </w:tcPr>
          <w:p w14:paraId="6EC32C38"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0.008 </w:t>
            </w:r>
          </w:p>
        </w:tc>
        <w:tc>
          <w:tcPr>
            <w:tcW w:w="1540" w:type="dxa"/>
            <w:tcBorders>
              <w:top w:val="nil"/>
              <w:left w:val="nil"/>
              <w:bottom w:val="single" w:sz="4" w:space="0" w:color="auto"/>
              <w:right w:val="single" w:sz="4" w:space="0" w:color="auto"/>
            </w:tcBorders>
            <w:shd w:val="clear" w:color="auto" w:fill="auto"/>
            <w:noWrap/>
            <w:vAlign w:val="center"/>
            <w:hideMark/>
          </w:tcPr>
          <w:p w14:paraId="50846531"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022AE498"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1,140</w:t>
            </w:r>
          </w:p>
        </w:tc>
      </w:tr>
      <w:tr w:rsidR="0032335C" w:rsidRPr="00C63A39" w14:paraId="1DFC1C87"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325654CD" w14:textId="01DCD343" w:rsidR="0032335C" w:rsidRPr="00C63A39" w:rsidRDefault="0032335C" w:rsidP="0032335C">
            <w:pPr>
              <w:rPr>
                <w:color w:val="000000"/>
                <w:kern w:val="22"/>
                <w:szCs w:val="22"/>
                <w:lang w:val="fr-FR" w:eastAsia="en-CA"/>
              </w:rPr>
            </w:pPr>
            <w:r w:rsidRPr="00C63A39">
              <w:rPr>
                <w:szCs w:val="22"/>
                <w:lang w:val="fr-FR"/>
              </w:rPr>
              <w:t>Soudan</w:t>
            </w:r>
          </w:p>
        </w:tc>
        <w:tc>
          <w:tcPr>
            <w:tcW w:w="1540" w:type="dxa"/>
            <w:tcBorders>
              <w:top w:val="nil"/>
              <w:left w:val="nil"/>
              <w:bottom w:val="single" w:sz="4" w:space="0" w:color="auto"/>
              <w:right w:val="single" w:sz="4" w:space="0" w:color="auto"/>
            </w:tcBorders>
            <w:shd w:val="clear" w:color="auto" w:fill="auto"/>
            <w:vAlign w:val="center"/>
            <w:hideMark/>
          </w:tcPr>
          <w:p w14:paraId="35000514"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5CCFAA7A"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25CBFED6"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1,140</w:t>
            </w:r>
          </w:p>
        </w:tc>
      </w:tr>
    </w:tbl>
    <w:p w14:paraId="05D70533" w14:textId="6448B71B" w:rsidR="00315701" w:rsidRPr="00C63A39" w:rsidRDefault="00315701" w:rsidP="0079737F">
      <w:pPr>
        <w:autoSpaceDE w:val="0"/>
        <w:autoSpaceDN w:val="0"/>
        <w:adjustRightInd w:val="0"/>
        <w:rPr>
          <w:rFonts w:eastAsiaTheme="minorEastAsia"/>
          <w:bCs/>
          <w:kern w:val="22"/>
          <w:szCs w:val="22"/>
          <w:lang w:val="fr-FR"/>
        </w:rPr>
      </w:pPr>
    </w:p>
    <w:p w14:paraId="54A56E49" w14:textId="77777777" w:rsidR="00315701" w:rsidRPr="00C63A39" w:rsidRDefault="00315701">
      <w:pPr>
        <w:spacing w:after="160" w:line="259" w:lineRule="auto"/>
        <w:rPr>
          <w:rFonts w:eastAsiaTheme="minorEastAsia"/>
          <w:bCs/>
          <w:kern w:val="22"/>
          <w:szCs w:val="22"/>
          <w:lang w:val="fr-FR"/>
        </w:rPr>
      </w:pPr>
      <w:r w:rsidRPr="00C63A39">
        <w:rPr>
          <w:rFonts w:eastAsiaTheme="minorEastAsia"/>
          <w:bCs/>
          <w:kern w:val="22"/>
          <w:szCs w:val="22"/>
          <w:lang w:val="fr-FR"/>
        </w:rPr>
        <w:br w:type="page"/>
      </w:r>
    </w:p>
    <w:tbl>
      <w:tblPr>
        <w:tblW w:w="9420" w:type="dxa"/>
        <w:tblLook w:val="04A0" w:firstRow="1" w:lastRow="0" w:firstColumn="1" w:lastColumn="0" w:noHBand="0" w:noVBand="1"/>
      </w:tblPr>
      <w:tblGrid>
        <w:gridCol w:w="4800"/>
        <w:gridCol w:w="1540"/>
        <w:gridCol w:w="1540"/>
        <w:gridCol w:w="1540"/>
      </w:tblGrid>
      <w:tr w:rsidR="005F7E95" w:rsidRPr="00C63A39" w14:paraId="2221A22B" w14:textId="77777777" w:rsidTr="00315701">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EB7D90" w14:textId="7F563AD0" w:rsidR="005F7E95" w:rsidRPr="00C63A39" w:rsidRDefault="005F7E95" w:rsidP="005F7E95">
            <w:pPr>
              <w:jc w:val="center"/>
              <w:rPr>
                <w:b/>
                <w:bCs/>
                <w:kern w:val="22"/>
                <w:szCs w:val="22"/>
                <w:lang w:val="fr-FR" w:eastAsia="en-CA"/>
              </w:rPr>
            </w:pPr>
            <w:r w:rsidRPr="00C63A39">
              <w:rPr>
                <w:b/>
                <w:bCs/>
                <w:kern w:val="22"/>
                <w:szCs w:val="22"/>
                <w:lang w:val="fr-FR" w:eastAsia="en-CA"/>
              </w:rPr>
              <w:lastRenderedPageBreak/>
              <w:t>Partie</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093D0323" w14:textId="71BE7E4A" w:rsidR="005F7E95" w:rsidRPr="00C63A39" w:rsidRDefault="005F7E95" w:rsidP="005F7E95">
            <w:pPr>
              <w:jc w:val="center"/>
              <w:rPr>
                <w:b/>
                <w:bCs/>
                <w:color w:val="000000"/>
                <w:kern w:val="22"/>
                <w:szCs w:val="22"/>
                <w:lang w:val="fr-FR" w:eastAsia="en-CA"/>
              </w:rPr>
            </w:pPr>
            <w:r w:rsidRPr="00C63A39">
              <w:rPr>
                <w:b/>
                <w:bCs/>
                <w:color w:val="000000"/>
                <w:kern w:val="22"/>
                <w:szCs w:val="22"/>
                <w:lang w:val="fr-FR" w:eastAsia="en-CA"/>
              </w:rPr>
              <w:t xml:space="preserve">Barème des quotes-parts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04AE1914" w14:textId="79390DAA" w:rsidR="005F7E95" w:rsidRPr="00C63A39" w:rsidRDefault="005F7E95" w:rsidP="005F7E95">
            <w:pPr>
              <w:jc w:val="center"/>
              <w:rPr>
                <w:b/>
                <w:bCs/>
                <w:color w:val="000000"/>
                <w:kern w:val="22"/>
                <w:szCs w:val="22"/>
                <w:lang w:val="fr-FR" w:eastAsia="en-CA"/>
              </w:rPr>
            </w:pPr>
            <w:r w:rsidRPr="00C63A39">
              <w:rPr>
                <w:b/>
                <w:bCs/>
                <w:color w:val="000000"/>
                <w:kern w:val="22"/>
                <w:szCs w:val="22"/>
                <w:lang w:val="fr-FR" w:eastAsia="en-CA"/>
              </w:rPr>
              <w:t>Barème assorti d’un plafond de 22% ; aucun PMA ne paie plus de 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2604D30F" w14:textId="4197CE16" w:rsidR="005F7E95" w:rsidRPr="00C63A39" w:rsidRDefault="005F7E95" w:rsidP="005F7E95">
            <w:pPr>
              <w:jc w:val="center"/>
              <w:rPr>
                <w:b/>
                <w:bCs/>
                <w:color w:val="000000"/>
                <w:kern w:val="22"/>
                <w:szCs w:val="22"/>
                <w:lang w:val="fr-FR" w:eastAsia="en-CA"/>
              </w:rPr>
            </w:pPr>
            <w:r w:rsidRPr="00C63A39">
              <w:rPr>
                <w:b/>
                <w:bCs/>
                <w:color w:val="000000"/>
                <w:kern w:val="22"/>
                <w:szCs w:val="22"/>
                <w:lang w:val="fr-FR" w:eastAsia="en-CA"/>
              </w:rPr>
              <w:t>Contributions au 1er janvier 2020</w:t>
            </w:r>
          </w:p>
        </w:tc>
      </w:tr>
      <w:tr w:rsidR="0058665F" w:rsidRPr="00C63A39" w14:paraId="30474709" w14:textId="77777777" w:rsidTr="00315701">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6147EE" w14:textId="33F984C7" w:rsidR="0058665F" w:rsidRPr="00C63A39" w:rsidRDefault="0058665F" w:rsidP="0058665F">
            <w:pPr>
              <w:jc w:val="left"/>
              <w:rPr>
                <w:kern w:val="22"/>
                <w:szCs w:val="22"/>
                <w:lang w:val="fr-FR" w:eastAsia="en-CA"/>
              </w:rPr>
            </w:pPr>
            <w:r w:rsidRPr="00C63A39">
              <w:rPr>
                <w:kern w:val="22"/>
                <w:szCs w:val="22"/>
                <w:lang w:val="fr-FR" w:eastAsia="en-CA"/>
              </w:rPr>
              <w:t>Suriname</w:t>
            </w:r>
          </w:p>
        </w:tc>
        <w:tc>
          <w:tcPr>
            <w:tcW w:w="1540" w:type="dxa"/>
            <w:tcBorders>
              <w:top w:val="single" w:sz="4" w:space="0" w:color="auto"/>
              <w:left w:val="nil"/>
              <w:bottom w:val="single" w:sz="4" w:space="0" w:color="auto"/>
              <w:right w:val="single" w:sz="4" w:space="0" w:color="auto"/>
            </w:tcBorders>
            <w:shd w:val="clear" w:color="auto" w:fill="auto"/>
            <w:vAlign w:val="center"/>
          </w:tcPr>
          <w:p w14:paraId="7D114615" w14:textId="7B703F9C" w:rsidR="0058665F" w:rsidRPr="00C63A39" w:rsidRDefault="0058665F" w:rsidP="0058665F">
            <w:pPr>
              <w:jc w:val="right"/>
              <w:rPr>
                <w:b/>
                <w:bCs/>
                <w:color w:val="000000"/>
                <w:kern w:val="22"/>
                <w:szCs w:val="22"/>
                <w:lang w:val="fr-FR" w:eastAsia="en-CA"/>
              </w:rPr>
            </w:pPr>
            <w:r w:rsidRPr="00C63A39">
              <w:rPr>
                <w:color w:val="000000"/>
                <w:kern w:val="22"/>
                <w:szCs w:val="22"/>
                <w:lang w:eastAsia="en-CA"/>
              </w:rPr>
              <w:t>0.005</w:t>
            </w:r>
          </w:p>
        </w:tc>
        <w:tc>
          <w:tcPr>
            <w:tcW w:w="1540" w:type="dxa"/>
            <w:tcBorders>
              <w:top w:val="single" w:sz="4" w:space="0" w:color="auto"/>
              <w:left w:val="nil"/>
              <w:bottom w:val="single" w:sz="4" w:space="0" w:color="auto"/>
              <w:right w:val="single" w:sz="4" w:space="0" w:color="auto"/>
            </w:tcBorders>
            <w:shd w:val="clear" w:color="auto" w:fill="auto"/>
            <w:vAlign w:val="center"/>
          </w:tcPr>
          <w:p w14:paraId="1ABA7E8E" w14:textId="1C4535A4" w:rsidR="0058665F" w:rsidRPr="00C63A39" w:rsidRDefault="0058665F" w:rsidP="0058665F">
            <w:pPr>
              <w:jc w:val="right"/>
              <w:rPr>
                <w:b/>
                <w:bCs/>
                <w:color w:val="000000"/>
                <w:kern w:val="22"/>
                <w:szCs w:val="22"/>
                <w:lang w:val="fr-FR" w:eastAsia="en-CA"/>
              </w:rPr>
            </w:pPr>
            <w:r w:rsidRPr="00C63A39">
              <w:rPr>
                <w:color w:val="000000"/>
                <w:kern w:val="22"/>
                <w:szCs w:val="22"/>
                <w:lang w:eastAsia="en-CA"/>
              </w:rPr>
              <w:t>0.006</w:t>
            </w:r>
          </w:p>
        </w:tc>
        <w:tc>
          <w:tcPr>
            <w:tcW w:w="1540" w:type="dxa"/>
            <w:tcBorders>
              <w:top w:val="single" w:sz="4" w:space="0" w:color="auto"/>
              <w:left w:val="nil"/>
              <w:bottom w:val="single" w:sz="4" w:space="0" w:color="auto"/>
              <w:right w:val="single" w:sz="4" w:space="0" w:color="auto"/>
            </w:tcBorders>
            <w:shd w:val="clear" w:color="auto" w:fill="auto"/>
            <w:vAlign w:val="center"/>
          </w:tcPr>
          <w:p w14:paraId="7F95C8DA" w14:textId="262792B2" w:rsidR="0058665F" w:rsidRPr="00C63A39" w:rsidRDefault="0058665F" w:rsidP="0058665F">
            <w:pPr>
              <w:jc w:val="right"/>
              <w:rPr>
                <w:b/>
                <w:bCs/>
                <w:color w:val="000000"/>
                <w:kern w:val="22"/>
                <w:szCs w:val="22"/>
                <w:lang w:val="fr-FR" w:eastAsia="en-CA"/>
              </w:rPr>
            </w:pPr>
            <w:r w:rsidRPr="00C63A39">
              <w:rPr>
                <w:color w:val="000000"/>
                <w:kern w:val="22"/>
                <w:szCs w:val="22"/>
                <w:lang w:eastAsia="en-CA"/>
              </w:rPr>
              <w:t>713</w:t>
            </w:r>
          </w:p>
        </w:tc>
      </w:tr>
      <w:tr w:rsidR="0058665F" w:rsidRPr="00C63A39" w14:paraId="79CEAB03"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7F571C8A" w14:textId="2AE07637" w:rsidR="0058665F" w:rsidRPr="00C63A39" w:rsidRDefault="0058665F" w:rsidP="0058665F">
            <w:pPr>
              <w:rPr>
                <w:color w:val="000000"/>
                <w:kern w:val="22"/>
                <w:szCs w:val="22"/>
                <w:lang w:val="fr-FR" w:eastAsia="en-CA"/>
              </w:rPr>
            </w:pPr>
            <w:r w:rsidRPr="00C63A39">
              <w:rPr>
                <w:szCs w:val="22"/>
                <w:lang w:val="fr-FR"/>
              </w:rPr>
              <w:t xml:space="preserve">Suisse </w:t>
            </w:r>
          </w:p>
        </w:tc>
        <w:tc>
          <w:tcPr>
            <w:tcW w:w="1540" w:type="dxa"/>
            <w:tcBorders>
              <w:top w:val="nil"/>
              <w:left w:val="nil"/>
              <w:bottom w:val="single" w:sz="4" w:space="0" w:color="auto"/>
              <w:right w:val="single" w:sz="4" w:space="0" w:color="auto"/>
            </w:tcBorders>
            <w:shd w:val="clear" w:color="auto" w:fill="auto"/>
            <w:vAlign w:val="center"/>
            <w:hideMark/>
          </w:tcPr>
          <w:p w14:paraId="4BEEE0EE" w14:textId="6DD17256" w:rsidR="0058665F" w:rsidRPr="00C63A39" w:rsidRDefault="0058665F" w:rsidP="0058665F">
            <w:pPr>
              <w:jc w:val="right"/>
              <w:rPr>
                <w:color w:val="000000"/>
                <w:kern w:val="22"/>
                <w:szCs w:val="22"/>
                <w:lang w:val="fr-FR" w:eastAsia="en-CA"/>
              </w:rPr>
            </w:pPr>
            <w:r w:rsidRPr="00C63A39">
              <w:rPr>
                <w:color w:val="000000"/>
                <w:kern w:val="22"/>
                <w:szCs w:val="22"/>
                <w:lang w:eastAsia="en-CA"/>
              </w:rPr>
              <w:t>0.906</w:t>
            </w:r>
          </w:p>
        </w:tc>
        <w:tc>
          <w:tcPr>
            <w:tcW w:w="1540" w:type="dxa"/>
            <w:tcBorders>
              <w:top w:val="nil"/>
              <w:left w:val="nil"/>
              <w:bottom w:val="single" w:sz="4" w:space="0" w:color="auto"/>
              <w:right w:val="single" w:sz="4" w:space="0" w:color="auto"/>
            </w:tcBorders>
            <w:shd w:val="clear" w:color="auto" w:fill="auto"/>
            <w:noWrap/>
            <w:vAlign w:val="center"/>
            <w:hideMark/>
          </w:tcPr>
          <w:p w14:paraId="2637DB9C" w14:textId="344F7AAD" w:rsidR="0058665F" w:rsidRPr="00C63A39" w:rsidRDefault="0058665F" w:rsidP="0058665F">
            <w:pPr>
              <w:jc w:val="right"/>
              <w:rPr>
                <w:color w:val="000000"/>
                <w:kern w:val="22"/>
                <w:szCs w:val="22"/>
                <w:lang w:val="fr-FR" w:eastAsia="en-CA"/>
              </w:rPr>
            </w:pPr>
            <w:r w:rsidRPr="00C63A39">
              <w:rPr>
                <w:color w:val="000000"/>
                <w:kern w:val="22"/>
                <w:szCs w:val="22"/>
                <w:lang w:eastAsia="en-CA"/>
              </w:rPr>
              <w:t>1.133</w:t>
            </w:r>
          </w:p>
        </w:tc>
        <w:tc>
          <w:tcPr>
            <w:tcW w:w="1540" w:type="dxa"/>
            <w:tcBorders>
              <w:top w:val="nil"/>
              <w:left w:val="nil"/>
              <w:bottom w:val="single" w:sz="4" w:space="0" w:color="auto"/>
              <w:right w:val="single" w:sz="4" w:space="0" w:color="auto"/>
            </w:tcBorders>
            <w:shd w:val="clear" w:color="auto" w:fill="auto"/>
            <w:noWrap/>
            <w:vAlign w:val="center"/>
            <w:hideMark/>
          </w:tcPr>
          <w:p w14:paraId="47F0BEA5" w14:textId="7D901B53" w:rsidR="0058665F" w:rsidRPr="00C63A39" w:rsidRDefault="0058665F" w:rsidP="0058665F">
            <w:pPr>
              <w:jc w:val="right"/>
              <w:rPr>
                <w:color w:val="000000"/>
                <w:kern w:val="22"/>
                <w:szCs w:val="22"/>
                <w:lang w:val="fr-FR" w:eastAsia="en-CA"/>
              </w:rPr>
            </w:pPr>
            <w:r w:rsidRPr="00C63A39">
              <w:rPr>
                <w:color w:val="000000"/>
                <w:kern w:val="22"/>
                <w:szCs w:val="22"/>
                <w:lang w:eastAsia="en-CA"/>
              </w:rPr>
              <w:t>129,159</w:t>
            </w:r>
          </w:p>
        </w:tc>
      </w:tr>
      <w:tr w:rsidR="0058665F" w:rsidRPr="00C63A39" w14:paraId="345F4FA5"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08838196" w14:textId="79D781CB" w:rsidR="0058665F" w:rsidRPr="00C63A39" w:rsidRDefault="0058665F" w:rsidP="0058665F">
            <w:pPr>
              <w:rPr>
                <w:color w:val="000000"/>
                <w:kern w:val="22"/>
                <w:szCs w:val="22"/>
                <w:lang w:val="fr-FR" w:eastAsia="en-CA"/>
              </w:rPr>
            </w:pPr>
            <w:r w:rsidRPr="00C63A39">
              <w:rPr>
                <w:szCs w:val="22"/>
                <w:lang w:val="fr-FR"/>
              </w:rPr>
              <w:t>République arabe syrienne</w:t>
            </w:r>
          </w:p>
        </w:tc>
        <w:tc>
          <w:tcPr>
            <w:tcW w:w="1540" w:type="dxa"/>
            <w:tcBorders>
              <w:top w:val="nil"/>
              <w:left w:val="nil"/>
              <w:bottom w:val="single" w:sz="4" w:space="0" w:color="auto"/>
              <w:right w:val="single" w:sz="4" w:space="0" w:color="auto"/>
            </w:tcBorders>
            <w:shd w:val="clear" w:color="auto" w:fill="auto"/>
            <w:vAlign w:val="center"/>
            <w:hideMark/>
          </w:tcPr>
          <w:p w14:paraId="380F15C2" w14:textId="575A4B42" w:rsidR="0058665F" w:rsidRPr="00C63A39" w:rsidRDefault="0058665F" w:rsidP="0058665F">
            <w:pPr>
              <w:jc w:val="right"/>
              <w:rPr>
                <w:color w:val="000000"/>
                <w:kern w:val="22"/>
                <w:szCs w:val="22"/>
                <w:lang w:val="fr-FR" w:eastAsia="en-CA"/>
              </w:rPr>
            </w:pPr>
            <w:r w:rsidRPr="00C63A39">
              <w:rPr>
                <w:color w:val="000000"/>
                <w:kern w:val="22"/>
                <w:szCs w:val="22"/>
                <w:lang w:eastAsia="en-CA"/>
              </w:rPr>
              <w:t>1.151</w:t>
            </w:r>
          </w:p>
        </w:tc>
        <w:tc>
          <w:tcPr>
            <w:tcW w:w="1540" w:type="dxa"/>
            <w:tcBorders>
              <w:top w:val="nil"/>
              <w:left w:val="nil"/>
              <w:bottom w:val="single" w:sz="4" w:space="0" w:color="auto"/>
              <w:right w:val="single" w:sz="4" w:space="0" w:color="auto"/>
            </w:tcBorders>
            <w:shd w:val="clear" w:color="auto" w:fill="auto"/>
            <w:noWrap/>
            <w:vAlign w:val="center"/>
            <w:hideMark/>
          </w:tcPr>
          <w:p w14:paraId="35C28B25" w14:textId="07F441C3" w:rsidR="0058665F" w:rsidRPr="00C63A39" w:rsidRDefault="0058665F" w:rsidP="0058665F">
            <w:pPr>
              <w:jc w:val="right"/>
              <w:rPr>
                <w:color w:val="000000"/>
                <w:kern w:val="22"/>
                <w:szCs w:val="22"/>
                <w:lang w:val="fr-FR" w:eastAsia="en-CA"/>
              </w:rPr>
            </w:pPr>
            <w:r w:rsidRPr="00C63A39">
              <w:rPr>
                <w:color w:val="000000"/>
                <w:kern w:val="22"/>
                <w:szCs w:val="22"/>
                <w:lang w:eastAsia="en-CA"/>
              </w:rPr>
              <w:t>1.439</w:t>
            </w:r>
          </w:p>
        </w:tc>
        <w:tc>
          <w:tcPr>
            <w:tcW w:w="1540" w:type="dxa"/>
            <w:tcBorders>
              <w:top w:val="nil"/>
              <w:left w:val="nil"/>
              <w:bottom w:val="single" w:sz="4" w:space="0" w:color="auto"/>
              <w:right w:val="single" w:sz="4" w:space="0" w:color="auto"/>
            </w:tcBorders>
            <w:shd w:val="clear" w:color="auto" w:fill="auto"/>
            <w:noWrap/>
            <w:vAlign w:val="center"/>
            <w:hideMark/>
          </w:tcPr>
          <w:p w14:paraId="0360D1DA" w14:textId="46F6F961" w:rsidR="0058665F" w:rsidRPr="00C63A39" w:rsidRDefault="0058665F" w:rsidP="0058665F">
            <w:pPr>
              <w:jc w:val="right"/>
              <w:rPr>
                <w:color w:val="000000"/>
                <w:kern w:val="22"/>
                <w:szCs w:val="22"/>
                <w:lang w:val="fr-FR" w:eastAsia="en-CA"/>
              </w:rPr>
            </w:pPr>
            <w:r w:rsidRPr="00C63A39">
              <w:rPr>
                <w:color w:val="000000"/>
                <w:kern w:val="22"/>
                <w:szCs w:val="22"/>
                <w:lang w:eastAsia="en-CA"/>
              </w:rPr>
              <w:t>164,086</w:t>
            </w:r>
          </w:p>
        </w:tc>
      </w:tr>
      <w:tr w:rsidR="0058665F" w:rsidRPr="00C63A39" w14:paraId="6D3E0D39"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477F304D" w14:textId="6C9E5130" w:rsidR="0058665F" w:rsidRPr="00C63A39" w:rsidRDefault="0058665F" w:rsidP="0058665F">
            <w:pPr>
              <w:rPr>
                <w:color w:val="000000"/>
                <w:kern w:val="22"/>
                <w:szCs w:val="22"/>
                <w:lang w:val="fr-FR" w:eastAsia="en-CA"/>
              </w:rPr>
            </w:pPr>
            <w:r w:rsidRPr="00C63A39">
              <w:rPr>
                <w:szCs w:val="22"/>
                <w:lang w:val="fr-FR"/>
              </w:rPr>
              <w:t>Tadjikistan</w:t>
            </w:r>
          </w:p>
        </w:tc>
        <w:tc>
          <w:tcPr>
            <w:tcW w:w="1540" w:type="dxa"/>
            <w:tcBorders>
              <w:top w:val="nil"/>
              <w:left w:val="nil"/>
              <w:bottom w:val="single" w:sz="4" w:space="0" w:color="auto"/>
              <w:right w:val="single" w:sz="4" w:space="0" w:color="auto"/>
            </w:tcBorders>
            <w:shd w:val="clear" w:color="auto" w:fill="auto"/>
            <w:vAlign w:val="center"/>
            <w:hideMark/>
          </w:tcPr>
          <w:p w14:paraId="756CDF1F" w14:textId="585C757B" w:rsidR="0058665F" w:rsidRPr="00C63A39" w:rsidRDefault="0058665F" w:rsidP="0058665F">
            <w:pPr>
              <w:jc w:val="right"/>
              <w:rPr>
                <w:color w:val="000000"/>
                <w:kern w:val="22"/>
                <w:szCs w:val="22"/>
                <w:lang w:val="fr-FR" w:eastAsia="en-CA"/>
              </w:rPr>
            </w:pPr>
            <w:r w:rsidRPr="00C63A39">
              <w:rPr>
                <w:color w:val="000000"/>
                <w:kern w:val="22"/>
                <w:szCs w:val="22"/>
                <w:lang w:eastAsia="en-CA"/>
              </w:rPr>
              <w:t>0.011</w:t>
            </w:r>
          </w:p>
        </w:tc>
        <w:tc>
          <w:tcPr>
            <w:tcW w:w="1540" w:type="dxa"/>
            <w:tcBorders>
              <w:top w:val="nil"/>
              <w:left w:val="nil"/>
              <w:bottom w:val="single" w:sz="4" w:space="0" w:color="auto"/>
              <w:right w:val="single" w:sz="4" w:space="0" w:color="auto"/>
            </w:tcBorders>
            <w:shd w:val="clear" w:color="auto" w:fill="auto"/>
            <w:noWrap/>
            <w:vAlign w:val="center"/>
            <w:hideMark/>
          </w:tcPr>
          <w:p w14:paraId="6CB8B0B4" w14:textId="0A7FB053" w:rsidR="0058665F" w:rsidRPr="00C63A39" w:rsidRDefault="0058665F" w:rsidP="0058665F">
            <w:pPr>
              <w:jc w:val="right"/>
              <w:rPr>
                <w:color w:val="000000"/>
                <w:kern w:val="22"/>
                <w:szCs w:val="22"/>
                <w:lang w:val="fr-FR" w:eastAsia="en-CA"/>
              </w:rPr>
            </w:pPr>
            <w:r w:rsidRPr="00C63A39">
              <w:rPr>
                <w:color w:val="000000"/>
                <w:kern w:val="22"/>
                <w:szCs w:val="22"/>
                <w:lang w:eastAsia="en-CA"/>
              </w:rPr>
              <w:t>0.014</w:t>
            </w:r>
          </w:p>
        </w:tc>
        <w:tc>
          <w:tcPr>
            <w:tcW w:w="1540" w:type="dxa"/>
            <w:tcBorders>
              <w:top w:val="nil"/>
              <w:left w:val="nil"/>
              <w:bottom w:val="single" w:sz="4" w:space="0" w:color="auto"/>
              <w:right w:val="single" w:sz="4" w:space="0" w:color="auto"/>
            </w:tcBorders>
            <w:shd w:val="clear" w:color="auto" w:fill="auto"/>
            <w:noWrap/>
            <w:vAlign w:val="center"/>
            <w:hideMark/>
          </w:tcPr>
          <w:p w14:paraId="045FE0C1" w14:textId="04C33578" w:rsidR="0058665F" w:rsidRPr="00C63A39" w:rsidRDefault="0058665F" w:rsidP="0058665F">
            <w:pPr>
              <w:jc w:val="right"/>
              <w:rPr>
                <w:color w:val="000000"/>
                <w:kern w:val="22"/>
                <w:szCs w:val="22"/>
                <w:lang w:val="fr-FR" w:eastAsia="en-CA"/>
              </w:rPr>
            </w:pPr>
            <w:r w:rsidRPr="00C63A39">
              <w:rPr>
                <w:color w:val="000000"/>
                <w:kern w:val="22"/>
                <w:szCs w:val="22"/>
                <w:lang w:eastAsia="en-CA"/>
              </w:rPr>
              <w:t>1,568</w:t>
            </w:r>
          </w:p>
        </w:tc>
      </w:tr>
      <w:tr w:rsidR="0058665F" w:rsidRPr="00C63A39" w14:paraId="1184B4EF"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008E3DFF" w14:textId="079FC4FD" w:rsidR="0058665F" w:rsidRPr="00C63A39" w:rsidRDefault="0058665F" w:rsidP="0058665F">
            <w:pPr>
              <w:rPr>
                <w:color w:val="000000"/>
                <w:kern w:val="22"/>
                <w:szCs w:val="22"/>
                <w:lang w:val="fr-FR" w:eastAsia="en-CA"/>
              </w:rPr>
            </w:pPr>
            <w:r w:rsidRPr="00C63A39">
              <w:rPr>
                <w:szCs w:val="22"/>
                <w:lang w:val="fr-FR"/>
              </w:rPr>
              <w:t>Thaïlande</w:t>
            </w:r>
          </w:p>
        </w:tc>
        <w:tc>
          <w:tcPr>
            <w:tcW w:w="1540" w:type="dxa"/>
            <w:tcBorders>
              <w:top w:val="nil"/>
              <w:left w:val="nil"/>
              <w:bottom w:val="single" w:sz="4" w:space="0" w:color="auto"/>
              <w:right w:val="single" w:sz="4" w:space="0" w:color="auto"/>
            </w:tcBorders>
            <w:shd w:val="clear" w:color="auto" w:fill="auto"/>
            <w:vAlign w:val="center"/>
            <w:hideMark/>
          </w:tcPr>
          <w:p w14:paraId="6BECFD88" w14:textId="6B88DDB5" w:rsidR="0058665F" w:rsidRPr="00C63A39" w:rsidRDefault="0058665F" w:rsidP="0058665F">
            <w:pPr>
              <w:jc w:val="right"/>
              <w:rPr>
                <w:color w:val="000000"/>
                <w:kern w:val="22"/>
                <w:szCs w:val="22"/>
                <w:lang w:val="fr-FR" w:eastAsia="en-CA"/>
              </w:rPr>
            </w:pPr>
            <w:r w:rsidRPr="00C63A39">
              <w:rPr>
                <w:color w:val="000000"/>
                <w:kern w:val="22"/>
                <w:szCs w:val="22"/>
                <w:lang w:eastAsia="en-CA"/>
              </w:rPr>
              <w:t>0.004</w:t>
            </w:r>
          </w:p>
        </w:tc>
        <w:tc>
          <w:tcPr>
            <w:tcW w:w="1540" w:type="dxa"/>
            <w:tcBorders>
              <w:top w:val="nil"/>
              <w:left w:val="nil"/>
              <w:bottom w:val="single" w:sz="4" w:space="0" w:color="auto"/>
              <w:right w:val="single" w:sz="4" w:space="0" w:color="auto"/>
            </w:tcBorders>
            <w:shd w:val="clear" w:color="auto" w:fill="auto"/>
            <w:noWrap/>
            <w:vAlign w:val="center"/>
            <w:hideMark/>
          </w:tcPr>
          <w:p w14:paraId="7DC73673" w14:textId="45F27F4F" w:rsidR="0058665F" w:rsidRPr="00C63A39" w:rsidRDefault="0058665F" w:rsidP="0058665F">
            <w:pPr>
              <w:jc w:val="right"/>
              <w:rPr>
                <w:color w:val="000000"/>
                <w:kern w:val="22"/>
                <w:szCs w:val="22"/>
                <w:lang w:val="fr-FR" w:eastAsia="en-CA"/>
              </w:rPr>
            </w:pPr>
            <w:r w:rsidRPr="00C63A39">
              <w:rPr>
                <w:color w:val="000000"/>
                <w:kern w:val="22"/>
                <w:szCs w:val="22"/>
                <w:lang w:eastAsia="en-CA"/>
              </w:rPr>
              <w:t>0.005</w:t>
            </w:r>
          </w:p>
        </w:tc>
        <w:tc>
          <w:tcPr>
            <w:tcW w:w="1540" w:type="dxa"/>
            <w:tcBorders>
              <w:top w:val="nil"/>
              <w:left w:val="nil"/>
              <w:bottom w:val="single" w:sz="4" w:space="0" w:color="auto"/>
              <w:right w:val="single" w:sz="4" w:space="0" w:color="auto"/>
            </w:tcBorders>
            <w:shd w:val="clear" w:color="auto" w:fill="auto"/>
            <w:noWrap/>
            <w:vAlign w:val="center"/>
            <w:hideMark/>
          </w:tcPr>
          <w:p w14:paraId="5E80E2AB" w14:textId="507C3126" w:rsidR="0058665F" w:rsidRPr="00C63A39" w:rsidRDefault="0058665F" w:rsidP="0058665F">
            <w:pPr>
              <w:jc w:val="right"/>
              <w:rPr>
                <w:color w:val="000000"/>
                <w:kern w:val="22"/>
                <w:szCs w:val="22"/>
                <w:lang w:val="fr-FR" w:eastAsia="en-CA"/>
              </w:rPr>
            </w:pPr>
            <w:r w:rsidRPr="00C63A39">
              <w:rPr>
                <w:color w:val="000000"/>
                <w:kern w:val="22"/>
                <w:szCs w:val="22"/>
                <w:lang w:eastAsia="en-CA"/>
              </w:rPr>
              <w:t>570</w:t>
            </w:r>
          </w:p>
        </w:tc>
      </w:tr>
      <w:tr w:rsidR="0058665F" w:rsidRPr="00C63A39" w14:paraId="68B89694"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2B1DDD23" w14:textId="2E0B1C74" w:rsidR="0058665F" w:rsidRPr="00C63A39" w:rsidRDefault="0058665F" w:rsidP="0058665F">
            <w:pPr>
              <w:rPr>
                <w:color w:val="000000"/>
                <w:kern w:val="22"/>
                <w:szCs w:val="22"/>
                <w:lang w:val="fr-FR" w:eastAsia="en-CA"/>
              </w:rPr>
            </w:pPr>
            <w:r w:rsidRPr="00C63A39">
              <w:rPr>
                <w:szCs w:val="22"/>
                <w:lang w:val="fr-FR"/>
              </w:rPr>
              <w:t>L'ancienne République yougoslave de Macédoine</w:t>
            </w:r>
          </w:p>
        </w:tc>
        <w:tc>
          <w:tcPr>
            <w:tcW w:w="1540" w:type="dxa"/>
            <w:tcBorders>
              <w:top w:val="nil"/>
              <w:left w:val="nil"/>
              <w:bottom w:val="single" w:sz="4" w:space="0" w:color="auto"/>
              <w:right w:val="single" w:sz="4" w:space="0" w:color="auto"/>
            </w:tcBorders>
            <w:shd w:val="clear" w:color="auto" w:fill="auto"/>
            <w:vAlign w:val="center"/>
            <w:hideMark/>
          </w:tcPr>
          <w:p w14:paraId="33B956EA" w14:textId="258C3414" w:rsidR="0058665F" w:rsidRPr="00C63A39" w:rsidRDefault="0058665F" w:rsidP="0058665F">
            <w:pPr>
              <w:jc w:val="right"/>
              <w:rPr>
                <w:color w:val="000000"/>
                <w:kern w:val="22"/>
                <w:szCs w:val="22"/>
                <w:lang w:val="fr-FR" w:eastAsia="en-CA"/>
              </w:rPr>
            </w:pPr>
            <w:r w:rsidRPr="00C63A39">
              <w:rPr>
                <w:color w:val="000000"/>
                <w:kern w:val="22"/>
                <w:szCs w:val="22"/>
                <w:lang w:eastAsia="en-CA"/>
              </w:rPr>
              <w:t>0.307</w:t>
            </w:r>
          </w:p>
        </w:tc>
        <w:tc>
          <w:tcPr>
            <w:tcW w:w="1540" w:type="dxa"/>
            <w:tcBorders>
              <w:top w:val="nil"/>
              <w:left w:val="nil"/>
              <w:bottom w:val="single" w:sz="4" w:space="0" w:color="auto"/>
              <w:right w:val="single" w:sz="4" w:space="0" w:color="auto"/>
            </w:tcBorders>
            <w:shd w:val="clear" w:color="auto" w:fill="auto"/>
            <w:noWrap/>
            <w:vAlign w:val="center"/>
            <w:hideMark/>
          </w:tcPr>
          <w:p w14:paraId="6848289F" w14:textId="120337AF" w:rsidR="0058665F" w:rsidRPr="00C63A39" w:rsidRDefault="0058665F" w:rsidP="0058665F">
            <w:pPr>
              <w:jc w:val="right"/>
              <w:rPr>
                <w:color w:val="000000"/>
                <w:kern w:val="22"/>
                <w:szCs w:val="22"/>
                <w:lang w:val="fr-FR" w:eastAsia="en-CA"/>
              </w:rPr>
            </w:pPr>
            <w:r w:rsidRPr="00C63A39">
              <w:rPr>
                <w:color w:val="000000"/>
                <w:kern w:val="22"/>
                <w:szCs w:val="22"/>
                <w:lang w:eastAsia="en-CA"/>
              </w:rPr>
              <w:t>0.384</w:t>
            </w:r>
          </w:p>
        </w:tc>
        <w:tc>
          <w:tcPr>
            <w:tcW w:w="1540" w:type="dxa"/>
            <w:tcBorders>
              <w:top w:val="nil"/>
              <w:left w:val="nil"/>
              <w:bottom w:val="single" w:sz="4" w:space="0" w:color="auto"/>
              <w:right w:val="single" w:sz="4" w:space="0" w:color="auto"/>
            </w:tcBorders>
            <w:shd w:val="clear" w:color="auto" w:fill="auto"/>
            <w:noWrap/>
            <w:vAlign w:val="center"/>
            <w:hideMark/>
          </w:tcPr>
          <w:p w14:paraId="334B3EE5" w14:textId="4E175A29" w:rsidR="0058665F" w:rsidRPr="00C63A39" w:rsidRDefault="0058665F" w:rsidP="0058665F">
            <w:pPr>
              <w:jc w:val="right"/>
              <w:rPr>
                <w:color w:val="000000"/>
                <w:kern w:val="22"/>
                <w:szCs w:val="22"/>
                <w:lang w:val="fr-FR" w:eastAsia="en-CA"/>
              </w:rPr>
            </w:pPr>
            <w:r w:rsidRPr="00C63A39">
              <w:rPr>
                <w:color w:val="000000"/>
                <w:kern w:val="22"/>
                <w:szCs w:val="22"/>
                <w:lang w:eastAsia="en-CA"/>
              </w:rPr>
              <w:t>43,766</w:t>
            </w:r>
          </w:p>
        </w:tc>
      </w:tr>
      <w:tr w:rsidR="0058665F" w:rsidRPr="00C63A39" w14:paraId="78C7776F"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0C759F3C" w14:textId="2FC24074" w:rsidR="0058665F" w:rsidRPr="00C63A39" w:rsidRDefault="0058665F" w:rsidP="0058665F">
            <w:pPr>
              <w:rPr>
                <w:color w:val="000000"/>
                <w:kern w:val="22"/>
                <w:szCs w:val="22"/>
                <w:lang w:val="fr-FR" w:eastAsia="en-CA"/>
              </w:rPr>
            </w:pPr>
            <w:r w:rsidRPr="00C63A39">
              <w:rPr>
                <w:szCs w:val="22"/>
                <w:lang w:val="fr-FR"/>
              </w:rPr>
              <w:t>Timor-Leste</w:t>
            </w:r>
          </w:p>
        </w:tc>
        <w:tc>
          <w:tcPr>
            <w:tcW w:w="1540" w:type="dxa"/>
            <w:tcBorders>
              <w:top w:val="nil"/>
              <w:left w:val="nil"/>
              <w:bottom w:val="single" w:sz="4" w:space="0" w:color="auto"/>
              <w:right w:val="single" w:sz="4" w:space="0" w:color="auto"/>
            </w:tcBorders>
            <w:shd w:val="clear" w:color="auto" w:fill="auto"/>
            <w:vAlign w:val="center"/>
            <w:hideMark/>
          </w:tcPr>
          <w:p w14:paraId="176A70C1" w14:textId="75A21871" w:rsidR="0058665F" w:rsidRPr="00C63A39" w:rsidRDefault="0058665F" w:rsidP="0058665F">
            <w:pPr>
              <w:jc w:val="right"/>
              <w:rPr>
                <w:color w:val="000000"/>
                <w:kern w:val="22"/>
                <w:szCs w:val="22"/>
                <w:lang w:val="fr-FR" w:eastAsia="en-CA"/>
              </w:rPr>
            </w:pPr>
            <w:r w:rsidRPr="00C63A39">
              <w:rPr>
                <w:color w:val="000000"/>
                <w:kern w:val="22"/>
                <w:szCs w:val="22"/>
                <w:lang w:eastAsia="en-CA"/>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6974592D" w14:textId="54A70ECB" w:rsidR="0058665F" w:rsidRPr="00C63A39" w:rsidRDefault="0058665F" w:rsidP="0058665F">
            <w:pPr>
              <w:jc w:val="right"/>
              <w:rPr>
                <w:color w:val="000000"/>
                <w:kern w:val="22"/>
                <w:szCs w:val="22"/>
                <w:lang w:val="fr-FR" w:eastAsia="en-CA"/>
              </w:rPr>
            </w:pPr>
            <w:r w:rsidRPr="00C63A39">
              <w:rPr>
                <w:color w:val="000000"/>
                <w:kern w:val="22"/>
                <w:szCs w:val="22"/>
                <w:lang w:eastAsia="en-CA"/>
              </w:rPr>
              <w:t>0.003</w:t>
            </w:r>
          </w:p>
        </w:tc>
        <w:tc>
          <w:tcPr>
            <w:tcW w:w="1540" w:type="dxa"/>
            <w:tcBorders>
              <w:top w:val="nil"/>
              <w:left w:val="nil"/>
              <w:bottom w:val="single" w:sz="4" w:space="0" w:color="auto"/>
              <w:right w:val="single" w:sz="4" w:space="0" w:color="auto"/>
            </w:tcBorders>
            <w:shd w:val="clear" w:color="auto" w:fill="auto"/>
            <w:noWrap/>
            <w:vAlign w:val="center"/>
            <w:hideMark/>
          </w:tcPr>
          <w:p w14:paraId="2F8E14FA" w14:textId="256B31BA" w:rsidR="0058665F" w:rsidRPr="00C63A39" w:rsidRDefault="0058665F" w:rsidP="0058665F">
            <w:pPr>
              <w:jc w:val="right"/>
              <w:rPr>
                <w:color w:val="000000"/>
                <w:kern w:val="22"/>
                <w:szCs w:val="22"/>
                <w:lang w:val="fr-FR" w:eastAsia="en-CA"/>
              </w:rPr>
            </w:pPr>
            <w:r w:rsidRPr="00C63A39">
              <w:rPr>
                <w:color w:val="000000"/>
                <w:kern w:val="22"/>
                <w:szCs w:val="22"/>
                <w:lang w:eastAsia="en-CA"/>
              </w:rPr>
              <w:t>285</w:t>
            </w:r>
          </w:p>
        </w:tc>
      </w:tr>
      <w:tr w:rsidR="0058665F" w:rsidRPr="00C63A39" w14:paraId="6760C3F3"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173DDB82" w14:textId="17A64109" w:rsidR="0058665F" w:rsidRPr="00C63A39" w:rsidRDefault="0058665F" w:rsidP="0058665F">
            <w:pPr>
              <w:rPr>
                <w:color w:val="000000"/>
                <w:kern w:val="22"/>
                <w:szCs w:val="22"/>
                <w:lang w:val="fr-FR" w:eastAsia="en-CA"/>
              </w:rPr>
            </w:pPr>
            <w:r w:rsidRPr="00C63A39">
              <w:rPr>
                <w:szCs w:val="22"/>
                <w:lang w:val="fr-FR"/>
              </w:rPr>
              <w:t>Togo</w:t>
            </w:r>
          </w:p>
        </w:tc>
        <w:tc>
          <w:tcPr>
            <w:tcW w:w="1540" w:type="dxa"/>
            <w:tcBorders>
              <w:top w:val="nil"/>
              <w:left w:val="nil"/>
              <w:bottom w:val="single" w:sz="4" w:space="0" w:color="auto"/>
              <w:right w:val="single" w:sz="4" w:space="0" w:color="auto"/>
            </w:tcBorders>
            <w:shd w:val="clear" w:color="auto" w:fill="auto"/>
            <w:vAlign w:val="center"/>
            <w:hideMark/>
          </w:tcPr>
          <w:p w14:paraId="3B1AB935" w14:textId="12CC1456" w:rsidR="0058665F" w:rsidRPr="00C63A39" w:rsidRDefault="0058665F" w:rsidP="0058665F">
            <w:pPr>
              <w:jc w:val="right"/>
              <w:rPr>
                <w:color w:val="000000"/>
                <w:kern w:val="22"/>
                <w:szCs w:val="22"/>
                <w:lang w:val="fr-FR" w:eastAsia="en-CA"/>
              </w:rPr>
            </w:pPr>
            <w:r w:rsidRPr="00C63A39">
              <w:rPr>
                <w:color w:val="000000"/>
                <w:kern w:val="22"/>
                <w:szCs w:val="22"/>
                <w:lang w:eastAsia="en-CA"/>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0B3FFBD3" w14:textId="1852FB0B" w:rsidR="0058665F" w:rsidRPr="00C63A39" w:rsidRDefault="0058665F" w:rsidP="0058665F">
            <w:pPr>
              <w:jc w:val="right"/>
              <w:rPr>
                <w:color w:val="000000"/>
                <w:kern w:val="22"/>
                <w:szCs w:val="22"/>
                <w:lang w:val="fr-FR" w:eastAsia="en-CA"/>
              </w:rPr>
            </w:pPr>
            <w:r w:rsidRPr="00C63A39">
              <w:rPr>
                <w:color w:val="000000"/>
                <w:kern w:val="22"/>
                <w:szCs w:val="22"/>
                <w:lang w:eastAsia="en-CA"/>
              </w:rPr>
              <w:t>0.003</w:t>
            </w:r>
          </w:p>
        </w:tc>
        <w:tc>
          <w:tcPr>
            <w:tcW w:w="1540" w:type="dxa"/>
            <w:tcBorders>
              <w:top w:val="nil"/>
              <w:left w:val="nil"/>
              <w:bottom w:val="single" w:sz="4" w:space="0" w:color="auto"/>
              <w:right w:val="single" w:sz="4" w:space="0" w:color="auto"/>
            </w:tcBorders>
            <w:shd w:val="clear" w:color="auto" w:fill="auto"/>
            <w:noWrap/>
            <w:vAlign w:val="center"/>
            <w:hideMark/>
          </w:tcPr>
          <w:p w14:paraId="30AC91C3" w14:textId="364E4A19" w:rsidR="0058665F" w:rsidRPr="00C63A39" w:rsidRDefault="0058665F" w:rsidP="0058665F">
            <w:pPr>
              <w:jc w:val="right"/>
              <w:rPr>
                <w:color w:val="000000"/>
                <w:kern w:val="22"/>
                <w:szCs w:val="22"/>
                <w:lang w:val="fr-FR" w:eastAsia="en-CA"/>
              </w:rPr>
            </w:pPr>
            <w:r w:rsidRPr="00C63A39">
              <w:rPr>
                <w:color w:val="000000"/>
                <w:kern w:val="22"/>
                <w:szCs w:val="22"/>
                <w:lang w:eastAsia="en-CA"/>
              </w:rPr>
              <w:t>285</w:t>
            </w:r>
          </w:p>
        </w:tc>
      </w:tr>
      <w:tr w:rsidR="0058665F" w:rsidRPr="00C63A39" w14:paraId="33BA16C2"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064A2084" w14:textId="54C28859" w:rsidR="0058665F" w:rsidRPr="00C63A39" w:rsidRDefault="0058665F" w:rsidP="0058665F">
            <w:pPr>
              <w:rPr>
                <w:color w:val="000000"/>
                <w:kern w:val="22"/>
                <w:szCs w:val="22"/>
                <w:lang w:val="fr-FR" w:eastAsia="en-CA"/>
              </w:rPr>
            </w:pPr>
            <w:r w:rsidRPr="00C63A39">
              <w:rPr>
                <w:szCs w:val="22"/>
                <w:lang w:val="fr-FR"/>
              </w:rPr>
              <w:t>Tonga</w:t>
            </w:r>
          </w:p>
        </w:tc>
        <w:tc>
          <w:tcPr>
            <w:tcW w:w="1540" w:type="dxa"/>
            <w:tcBorders>
              <w:top w:val="nil"/>
              <w:left w:val="nil"/>
              <w:bottom w:val="single" w:sz="4" w:space="0" w:color="auto"/>
              <w:right w:val="single" w:sz="4" w:space="0" w:color="auto"/>
            </w:tcBorders>
            <w:shd w:val="clear" w:color="auto" w:fill="auto"/>
            <w:vAlign w:val="center"/>
            <w:hideMark/>
          </w:tcPr>
          <w:p w14:paraId="64CE1642" w14:textId="0BFE6BA0" w:rsidR="0058665F" w:rsidRPr="00C63A39" w:rsidRDefault="0058665F" w:rsidP="0058665F">
            <w:pPr>
              <w:jc w:val="right"/>
              <w:rPr>
                <w:color w:val="000000"/>
                <w:kern w:val="22"/>
                <w:szCs w:val="22"/>
                <w:lang w:val="fr-FR" w:eastAsia="en-CA"/>
              </w:rPr>
            </w:pPr>
            <w:r w:rsidRPr="00C63A39">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5138C58E" w14:textId="00A32211" w:rsidR="0058665F" w:rsidRPr="00C63A39" w:rsidRDefault="0058665F" w:rsidP="0058665F">
            <w:pPr>
              <w:jc w:val="right"/>
              <w:rPr>
                <w:color w:val="000000"/>
                <w:kern w:val="22"/>
                <w:szCs w:val="22"/>
                <w:lang w:val="fr-FR" w:eastAsia="en-CA"/>
              </w:rPr>
            </w:pPr>
            <w:r w:rsidRPr="00C63A39">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09FFC1CA" w14:textId="7FF1BC15" w:rsidR="0058665F" w:rsidRPr="00C63A39" w:rsidRDefault="0058665F" w:rsidP="0058665F">
            <w:pPr>
              <w:jc w:val="right"/>
              <w:rPr>
                <w:color w:val="000000"/>
                <w:kern w:val="22"/>
                <w:szCs w:val="22"/>
                <w:lang w:val="fr-FR" w:eastAsia="en-CA"/>
              </w:rPr>
            </w:pPr>
            <w:r w:rsidRPr="00C63A39">
              <w:rPr>
                <w:color w:val="000000"/>
                <w:kern w:val="22"/>
                <w:szCs w:val="22"/>
                <w:lang w:eastAsia="en-CA"/>
              </w:rPr>
              <w:t>143</w:t>
            </w:r>
          </w:p>
        </w:tc>
      </w:tr>
      <w:tr w:rsidR="0058665F" w:rsidRPr="00C63A39" w14:paraId="0502E48F"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0507E90C" w14:textId="7D50F9D2" w:rsidR="0058665F" w:rsidRPr="00C63A39" w:rsidRDefault="0058665F" w:rsidP="0058665F">
            <w:pPr>
              <w:rPr>
                <w:color w:val="000000"/>
                <w:kern w:val="22"/>
                <w:szCs w:val="22"/>
                <w:lang w:val="fr-FR" w:eastAsia="en-CA"/>
              </w:rPr>
            </w:pPr>
            <w:r w:rsidRPr="00C63A39">
              <w:rPr>
                <w:szCs w:val="22"/>
                <w:lang w:val="fr-FR"/>
              </w:rPr>
              <w:t>Trinité-et-Tobago</w:t>
            </w:r>
          </w:p>
        </w:tc>
        <w:tc>
          <w:tcPr>
            <w:tcW w:w="1540" w:type="dxa"/>
            <w:tcBorders>
              <w:top w:val="nil"/>
              <w:left w:val="nil"/>
              <w:bottom w:val="single" w:sz="4" w:space="0" w:color="auto"/>
              <w:right w:val="single" w:sz="4" w:space="0" w:color="auto"/>
            </w:tcBorders>
            <w:shd w:val="clear" w:color="auto" w:fill="auto"/>
            <w:vAlign w:val="center"/>
            <w:hideMark/>
          </w:tcPr>
          <w:p w14:paraId="1B84194C" w14:textId="03733903" w:rsidR="0058665F" w:rsidRPr="00C63A39" w:rsidRDefault="0058665F" w:rsidP="0058665F">
            <w:pPr>
              <w:jc w:val="right"/>
              <w:rPr>
                <w:color w:val="000000"/>
                <w:kern w:val="22"/>
                <w:szCs w:val="22"/>
                <w:lang w:val="fr-FR" w:eastAsia="en-CA"/>
              </w:rPr>
            </w:pPr>
            <w:r w:rsidRPr="00C63A39">
              <w:rPr>
                <w:color w:val="000000"/>
                <w:kern w:val="22"/>
                <w:szCs w:val="22"/>
                <w:lang w:eastAsia="en-CA"/>
              </w:rPr>
              <w:t>0.040</w:t>
            </w:r>
          </w:p>
        </w:tc>
        <w:tc>
          <w:tcPr>
            <w:tcW w:w="1540" w:type="dxa"/>
            <w:tcBorders>
              <w:top w:val="nil"/>
              <w:left w:val="nil"/>
              <w:bottom w:val="single" w:sz="4" w:space="0" w:color="auto"/>
              <w:right w:val="single" w:sz="4" w:space="0" w:color="auto"/>
            </w:tcBorders>
            <w:shd w:val="clear" w:color="auto" w:fill="auto"/>
            <w:noWrap/>
            <w:vAlign w:val="center"/>
            <w:hideMark/>
          </w:tcPr>
          <w:p w14:paraId="35CB4B55" w14:textId="2F6DA31C" w:rsidR="0058665F" w:rsidRPr="00C63A39" w:rsidRDefault="0058665F" w:rsidP="0058665F">
            <w:pPr>
              <w:jc w:val="right"/>
              <w:rPr>
                <w:color w:val="000000"/>
                <w:kern w:val="22"/>
                <w:szCs w:val="22"/>
                <w:lang w:val="fr-FR" w:eastAsia="en-CA"/>
              </w:rPr>
            </w:pPr>
            <w:r w:rsidRPr="00C63A39">
              <w:rPr>
                <w:color w:val="000000"/>
                <w:kern w:val="22"/>
                <w:szCs w:val="22"/>
                <w:lang w:eastAsia="en-CA"/>
              </w:rPr>
              <w:t>0.050</w:t>
            </w:r>
          </w:p>
        </w:tc>
        <w:tc>
          <w:tcPr>
            <w:tcW w:w="1540" w:type="dxa"/>
            <w:tcBorders>
              <w:top w:val="nil"/>
              <w:left w:val="nil"/>
              <w:bottom w:val="single" w:sz="4" w:space="0" w:color="auto"/>
              <w:right w:val="single" w:sz="4" w:space="0" w:color="auto"/>
            </w:tcBorders>
            <w:shd w:val="clear" w:color="auto" w:fill="auto"/>
            <w:noWrap/>
            <w:vAlign w:val="center"/>
            <w:hideMark/>
          </w:tcPr>
          <w:p w14:paraId="5315C3BC" w14:textId="4036C102" w:rsidR="0058665F" w:rsidRPr="00C63A39" w:rsidRDefault="0058665F" w:rsidP="0058665F">
            <w:pPr>
              <w:jc w:val="right"/>
              <w:rPr>
                <w:color w:val="000000"/>
                <w:kern w:val="22"/>
                <w:szCs w:val="22"/>
                <w:lang w:val="fr-FR" w:eastAsia="en-CA"/>
              </w:rPr>
            </w:pPr>
            <w:r w:rsidRPr="00C63A39">
              <w:rPr>
                <w:color w:val="000000"/>
                <w:kern w:val="22"/>
                <w:szCs w:val="22"/>
                <w:lang w:eastAsia="en-CA"/>
              </w:rPr>
              <w:t>5,702</w:t>
            </w:r>
          </w:p>
        </w:tc>
      </w:tr>
      <w:tr w:rsidR="0058665F" w:rsidRPr="00C63A39" w14:paraId="4BBE4225"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5B06EC95" w14:textId="06F012FE" w:rsidR="0058665F" w:rsidRPr="00C63A39" w:rsidRDefault="0058665F" w:rsidP="0058665F">
            <w:pPr>
              <w:rPr>
                <w:color w:val="000000"/>
                <w:kern w:val="22"/>
                <w:szCs w:val="22"/>
                <w:lang w:val="fr-FR" w:eastAsia="en-CA"/>
              </w:rPr>
            </w:pPr>
            <w:r w:rsidRPr="00C63A39">
              <w:rPr>
                <w:szCs w:val="22"/>
                <w:lang w:val="fr-FR"/>
              </w:rPr>
              <w:t>Tunisie</w:t>
            </w:r>
          </w:p>
        </w:tc>
        <w:tc>
          <w:tcPr>
            <w:tcW w:w="1540" w:type="dxa"/>
            <w:tcBorders>
              <w:top w:val="nil"/>
              <w:left w:val="nil"/>
              <w:bottom w:val="single" w:sz="4" w:space="0" w:color="auto"/>
              <w:right w:val="single" w:sz="4" w:space="0" w:color="auto"/>
            </w:tcBorders>
            <w:shd w:val="clear" w:color="auto" w:fill="auto"/>
            <w:vAlign w:val="center"/>
            <w:hideMark/>
          </w:tcPr>
          <w:p w14:paraId="33AEF788" w14:textId="389AA843" w:rsidR="0058665F" w:rsidRPr="00C63A39" w:rsidRDefault="0058665F" w:rsidP="0058665F">
            <w:pPr>
              <w:jc w:val="right"/>
              <w:rPr>
                <w:color w:val="000000"/>
                <w:kern w:val="22"/>
                <w:szCs w:val="22"/>
                <w:lang w:val="fr-FR" w:eastAsia="en-CA"/>
              </w:rPr>
            </w:pPr>
            <w:r w:rsidRPr="00C63A39">
              <w:rPr>
                <w:color w:val="000000"/>
                <w:kern w:val="22"/>
                <w:szCs w:val="22"/>
                <w:lang w:eastAsia="en-CA"/>
              </w:rPr>
              <w:t>0.025</w:t>
            </w:r>
          </w:p>
        </w:tc>
        <w:tc>
          <w:tcPr>
            <w:tcW w:w="1540" w:type="dxa"/>
            <w:tcBorders>
              <w:top w:val="nil"/>
              <w:left w:val="nil"/>
              <w:bottom w:val="single" w:sz="4" w:space="0" w:color="auto"/>
              <w:right w:val="single" w:sz="4" w:space="0" w:color="auto"/>
            </w:tcBorders>
            <w:shd w:val="clear" w:color="auto" w:fill="auto"/>
            <w:noWrap/>
            <w:vAlign w:val="center"/>
            <w:hideMark/>
          </w:tcPr>
          <w:p w14:paraId="5A5AE95B" w14:textId="5019EDBA" w:rsidR="0058665F" w:rsidRPr="00C63A39" w:rsidRDefault="0058665F" w:rsidP="0058665F">
            <w:pPr>
              <w:jc w:val="right"/>
              <w:rPr>
                <w:color w:val="000000"/>
                <w:kern w:val="22"/>
                <w:szCs w:val="22"/>
                <w:lang w:val="fr-FR" w:eastAsia="en-CA"/>
              </w:rPr>
            </w:pPr>
            <w:r w:rsidRPr="00C63A39">
              <w:rPr>
                <w:color w:val="000000"/>
                <w:kern w:val="22"/>
                <w:szCs w:val="22"/>
                <w:lang w:eastAsia="en-CA"/>
              </w:rPr>
              <w:t>0.031</w:t>
            </w:r>
          </w:p>
        </w:tc>
        <w:tc>
          <w:tcPr>
            <w:tcW w:w="1540" w:type="dxa"/>
            <w:tcBorders>
              <w:top w:val="nil"/>
              <w:left w:val="nil"/>
              <w:bottom w:val="single" w:sz="4" w:space="0" w:color="auto"/>
              <w:right w:val="single" w:sz="4" w:space="0" w:color="auto"/>
            </w:tcBorders>
            <w:shd w:val="clear" w:color="auto" w:fill="auto"/>
            <w:noWrap/>
            <w:vAlign w:val="center"/>
            <w:hideMark/>
          </w:tcPr>
          <w:p w14:paraId="6CB736CD" w14:textId="60640FCC" w:rsidR="0058665F" w:rsidRPr="00C63A39" w:rsidRDefault="0058665F" w:rsidP="0058665F">
            <w:pPr>
              <w:jc w:val="right"/>
              <w:rPr>
                <w:color w:val="000000"/>
                <w:kern w:val="22"/>
                <w:szCs w:val="22"/>
                <w:lang w:val="fr-FR" w:eastAsia="en-CA"/>
              </w:rPr>
            </w:pPr>
            <w:r w:rsidRPr="00C63A39">
              <w:rPr>
                <w:color w:val="000000"/>
                <w:kern w:val="22"/>
                <w:szCs w:val="22"/>
                <w:lang w:eastAsia="en-CA"/>
              </w:rPr>
              <w:t>3,564</w:t>
            </w:r>
          </w:p>
        </w:tc>
      </w:tr>
      <w:tr w:rsidR="0058665F" w:rsidRPr="00C63A39" w14:paraId="23FC7A52"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5CFC6007" w14:textId="20B10ED1" w:rsidR="0058665F" w:rsidRPr="00C63A39" w:rsidRDefault="0058665F" w:rsidP="0058665F">
            <w:pPr>
              <w:rPr>
                <w:color w:val="000000"/>
                <w:kern w:val="22"/>
                <w:szCs w:val="22"/>
                <w:lang w:val="fr-FR" w:eastAsia="en-CA"/>
              </w:rPr>
            </w:pPr>
            <w:r w:rsidRPr="00C63A39">
              <w:rPr>
                <w:szCs w:val="22"/>
                <w:lang w:val="fr-FR"/>
              </w:rPr>
              <w:t>Turquie</w:t>
            </w:r>
          </w:p>
        </w:tc>
        <w:tc>
          <w:tcPr>
            <w:tcW w:w="1540" w:type="dxa"/>
            <w:tcBorders>
              <w:top w:val="nil"/>
              <w:left w:val="nil"/>
              <w:bottom w:val="single" w:sz="4" w:space="0" w:color="auto"/>
              <w:right w:val="single" w:sz="4" w:space="0" w:color="auto"/>
            </w:tcBorders>
            <w:shd w:val="clear" w:color="auto" w:fill="auto"/>
            <w:vAlign w:val="center"/>
            <w:hideMark/>
          </w:tcPr>
          <w:p w14:paraId="58FCDD89" w14:textId="2C5ECC39" w:rsidR="0058665F" w:rsidRPr="00C63A39" w:rsidRDefault="0058665F" w:rsidP="0058665F">
            <w:pPr>
              <w:jc w:val="right"/>
              <w:rPr>
                <w:color w:val="000000"/>
                <w:kern w:val="22"/>
                <w:szCs w:val="22"/>
                <w:lang w:val="fr-FR" w:eastAsia="en-CA"/>
              </w:rPr>
            </w:pPr>
            <w:r w:rsidRPr="00C63A39">
              <w:rPr>
                <w:color w:val="000000"/>
                <w:kern w:val="22"/>
                <w:szCs w:val="22"/>
                <w:lang w:eastAsia="en-CA"/>
              </w:rPr>
              <w:t>1.371</w:t>
            </w:r>
          </w:p>
        </w:tc>
        <w:tc>
          <w:tcPr>
            <w:tcW w:w="1540" w:type="dxa"/>
            <w:tcBorders>
              <w:top w:val="nil"/>
              <w:left w:val="nil"/>
              <w:bottom w:val="single" w:sz="4" w:space="0" w:color="auto"/>
              <w:right w:val="single" w:sz="4" w:space="0" w:color="auto"/>
            </w:tcBorders>
            <w:shd w:val="clear" w:color="auto" w:fill="auto"/>
            <w:noWrap/>
            <w:vAlign w:val="center"/>
            <w:hideMark/>
          </w:tcPr>
          <w:p w14:paraId="77CBA74F" w14:textId="2578D027" w:rsidR="0058665F" w:rsidRPr="00C63A39" w:rsidRDefault="0058665F" w:rsidP="0058665F">
            <w:pPr>
              <w:jc w:val="right"/>
              <w:rPr>
                <w:color w:val="000000"/>
                <w:kern w:val="22"/>
                <w:szCs w:val="22"/>
                <w:lang w:val="fr-FR" w:eastAsia="en-CA"/>
              </w:rPr>
            </w:pPr>
            <w:r w:rsidRPr="00C63A39">
              <w:rPr>
                <w:color w:val="000000"/>
                <w:kern w:val="22"/>
                <w:szCs w:val="22"/>
                <w:lang w:eastAsia="en-CA"/>
              </w:rPr>
              <w:t>1.714</w:t>
            </w:r>
          </w:p>
        </w:tc>
        <w:tc>
          <w:tcPr>
            <w:tcW w:w="1540" w:type="dxa"/>
            <w:tcBorders>
              <w:top w:val="nil"/>
              <w:left w:val="nil"/>
              <w:bottom w:val="single" w:sz="4" w:space="0" w:color="auto"/>
              <w:right w:val="single" w:sz="4" w:space="0" w:color="auto"/>
            </w:tcBorders>
            <w:shd w:val="clear" w:color="auto" w:fill="auto"/>
            <w:noWrap/>
            <w:vAlign w:val="center"/>
            <w:hideMark/>
          </w:tcPr>
          <w:p w14:paraId="5ADE7A08" w14:textId="04A958A9" w:rsidR="0058665F" w:rsidRPr="00C63A39" w:rsidRDefault="0058665F" w:rsidP="0058665F">
            <w:pPr>
              <w:jc w:val="right"/>
              <w:rPr>
                <w:color w:val="000000"/>
                <w:kern w:val="22"/>
                <w:szCs w:val="22"/>
                <w:lang w:val="fr-FR" w:eastAsia="en-CA"/>
              </w:rPr>
            </w:pPr>
            <w:r w:rsidRPr="00C63A39">
              <w:rPr>
                <w:color w:val="000000"/>
                <w:kern w:val="22"/>
                <w:szCs w:val="22"/>
                <w:lang w:eastAsia="en-CA"/>
              </w:rPr>
              <w:t>195,449</w:t>
            </w:r>
          </w:p>
        </w:tc>
      </w:tr>
      <w:tr w:rsidR="0058665F" w:rsidRPr="00C63A39" w14:paraId="7B661D78"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27ED6778" w14:textId="588820B3" w:rsidR="0058665F" w:rsidRPr="00C63A39" w:rsidRDefault="0058665F" w:rsidP="0058665F">
            <w:pPr>
              <w:rPr>
                <w:color w:val="000000"/>
                <w:kern w:val="22"/>
                <w:szCs w:val="22"/>
                <w:lang w:val="fr-FR" w:eastAsia="en-CA"/>
              </w:rPr>
            </w:pPr>
            <w:r w:rsidRPr="00C63A39">
              <w:rPr>
                <w:szCs w:val="22"/>
                <w:lang w:val="fr-FR"/>
              </w:rPr>
              <w:t>Turkménistan</w:t>
            </w:r>
          </w:p>
        </w:tc>
        <w:tc>
          <w:tcPr>
            <w:tcW w:w="1540" w:type="dxa"/>
            <w:tcBorders>
              <w:top w:val="nil"/>
              <w:left w:val="nil"/>
              <w:bottom w:val="single" w:sz="4" w:space="0" w:color="auto"/>
              <w:right w:val="single" w:sz="4" w:space="0" w:color="auto"/>
            </w:tcBorders>
            <w:shd w:val="clear" w:color="auto" w:fill="auto"/>
            <w:vAlign w:val="center"/>
            <w:hideMark/>
          </w:tcPr>
          <w:p w14:paraId="59A72B9A" w14:textId="74FB753B" w:rsidR="0058665F" w:rsidRPr="00C63A39" w:rsidRDefault="0058665F" w:rsidP="0058665F">
            <w:pPr>
              <w:jc w:val="right"/>
              <w:rPr>
                <w:color w:val="000000"/>
                <w:kern w:val="22"/>
                <w:szCs w:val="22"/>
                <w:lang w:val="fr-FR" w:eastAsia="en-CA"/>
              </w:rPr>
            </w:pPr>
            <w:r w:rsidRPr="00C63A39">
              <w:rPr>
                <w:color w:val="000000"/>
                <w:kern w:val="22"/>
                <w:szCs w:val="22"/>
                <w:lang w:eastAsia="en-CA"/>
              </w:rPr>
              <w:t>0.033</w:t>
            </w:r>
          </w:p>
        </w:tc>
        <w:tc>
          <w:tcPr>
            <w:tcW w:w="1540" w:type="dxa"/>
            <w:tcBorders>
              <w:top w:val="nil"/>
              <w:left w:val="nil"/>
              <w:bottom w:val="single" w:sz="4" w:space="0" w:color="auto"/>
              <w:right w:val="single" w:sz="4" w:space="0" w:color="auto"/>
            </w:tcBorders>
            <w:shd w:val="clear" w:color="auto" w:fill="auto"/>
            <w:noWrap/>
            <w:vAlign w:val="center"/>
            <w:hideMark/>
          </w:tcPr>
          <w:p w14:paraId="7D4097F2" w14:textId="78C5C2DB" w:rsidR="0058665F" w:rsidRPr="00C63A39" w:rsidRDefault="0058665F" w:rsidP="0058665F">
            <w:pPr>
              <w:jc w:val="right"/>
              <w:rPr>
                <w:color w:val="000000"/>
                <w:kern w:val="22"/>
                <w:szCs w:val="22"/>
                <w:lang w:val="fr-FR" w:eastAsia="en-CA"/>
              </w:rPr>
            </w:pPr>
            <w:r w:rsidRPr="00C63A39">
              <w:rPr>
                <w:color w:val="000000"/>
                <w:kern w:val="22"/>
                <w:szCs w:val="22"/>
                <w:lang w:eastAsia="en-CA"/>
              </w:rPr>
              <w:t>0.041</w:t>
            </w:r>
          </w:p>
        </w:tc>
        <w:tc>
          <w:tcPr>
            <w:tcW w:w="1540" w:type="dxa"/>
            <w:tcBorders>
              <w:top w:val="nil"/>
              <w:left w:val="nil"/>
              <w:bottom w:val="single" w:sz="4" w:space="0" w:color="auto"/>
              <w:right w:val="single" w:sz="4" w:space="0" w:color="auto"/>
            </w:tcBorders>
            <w:shd w:val="clear" w:color="auto" w:fill="auto"/>
            <w:noWrap/>
            <w:vAlign w:val="center"/>
            <w:hideMark/>
          </w:tcPr>
          <w:p w14:paraId="3212196C" w14:textId="59A4C5F7" w:rsidR="0058665F" w:rsidRPr="00C63A39" w:rsidRDefault="0058665F" w:rsidP="0058665F">
            <w:pPr>
              <w:jc w:val="right"/>
              <w:rPr>
                <w:color w:val="000000"/>
                <w:kern w:val="22"/>
                <w:szCs w:val="22"/>
                <w:lang w:val="fr-FR" w:eastAsia="en-CA"/>
              </w:rPr>
            </w:pPr>
            <w:r w:rsidRPr="00C63A39">
              <w:rPr>
                <w:color w:val="000000"/>
                <w:kern w:val="22"/>
                <w:szCs w:val="22"/>
                <w:lang w:eastAsia="en-CA"/>
              </w:rPr>
              <w:t>4,704</w:t>
            </w:r>
          </w:p>
        </w:tc>
      </w:tr>
      <w:tr w:rsidR="0058665F" w:rsidRPr="00C63A39" w14:paraId="2052097E"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1785919D" w14:textId="3FCE84BE" w:rsidR="0058665F" w:rsidRPr="00C63A39" w:rsidRDefault="0058665F" w:rsidP="0058665F">
            <w:pPr>
              <w:rPr>
                <w:color w:val="000000"/>
                <w:kern w:val="22"/>
                <w:szCs w:val="22"/>
                <w:lang w:val="fr-FR" w:eastAsia="en-CA"/>
              </w:rPr>
            </w:pPr>
            <w:r w:rsidRPr="00C63A39">
              <w:rPr>
                <w:szCs w:val="22"/>
                <w:lang w:val="fr-FR"/>
              </w:rPr>
              <w:t>Tuvalu</w:t>
            </w:r>
          </w:p>
        </w:tc>
        <w:tc>
          <w:tcPr>
            <w:tcW w:w="1540" w:type="dxa"/>
            <w:tcBorders>
              <w:top w:val="nil"/>
              <w:left w:val="nil"/>
              <w:bottom w:val="single" w:sz="4" w:space="0" w:color="auto"/>
              <w:right w:val="single" w:sz="4" w:space="0" w:color="auto"/>
            </w:tcBorders>
            <w:shd w:val="clear" w:color="auto" w:fill="auto"/>
            <w:vAlign w:val="center"/>
            <w:hideMark/>
          </w:tcPr>
          <w:p w14:paraId="7A2FE1D0" w14:textId="66CC3DFA" w:rsidR="0058665F" w:rsidRPr="00C63A39" w:rsidRDefault="0058665F" w:rsidP="0058665F">
            <w:pPr>
              <w:jc w:val="right"/>
              <w:rPr>
                <w:color w:val="000000"/>
                <w:kern w:val="22"/>
                <w:szCs w:val="22"/>
                <w:lang w:val="fr-FR" w:eastAsia="en-CA"/>
              </w:rPr>
            </w:pPr>
            <w:r w:rsidRPr="00C63A39">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19F6E818" w14:textId="771C7547" w:rsidR="0058665F" w:rsidRPr="00C63A39" w:rsidRDefault="0058665F" w:rsidP="0058665F">
            <w:pPr>
              <w:jc w:val="right"/>
              <w:rPr>
                <w:color w:val="000000"/>
                <w:kern w:val="22"/>
                <w:szCs w:val="22"/>
                <w:lang w:val="fr-FR" w:eastAsia="en-CA"/>
              </w:rPr>
            </w:pPr>
            <w:r w:rsidRPr="00C63A39">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30329A31" w14:textId="47C83B8E" w:rsidR="0058665F" w:rsidRPr="00C63A39" w:rsidRDefault="0058665F" w:rsidP="0058665F">
            <w:pPr>
              <w:jc w:val="right"/>
              <w:rPr>
                <w:color w:val="000000"/>
                <w:kern w:val="22"/>
                <w:szCs w:val="22"/>
                <w:lang w:val="fr-FR" w:eastAsia="en-CA"/>
              </w:rPr>
            </w:pPr>
            <w:r w:rsidRPr="00C63A39">
              <w:rPr>
                <w:color w:val="000000"/>
                <w:kern w:val="22"/>
                <w:szCs w:val="22"/>
                <w:lang w:eastAsia="en-CA"/>
              </w:rPr>
              <w:t>143</w:t>
            </w:r>
          </w:p>
        </w:tc>
      </w:tr>
      <w:tr w:rsidR="0058665F" w:rsidRPr="00C63A39" w14:paraId="45A22D7C"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0642E963" w14:textId="264CF119" w:rsidR="0058665F" w:rsidRPr="00C63A39" w:rsidRDefault="0058665F" w:rsidP="0058665F">
            <w:pPr>
              <w:rPr>
                <w:color w:val="000000"/>
                <w:kern w:val="22"/>
                <w:szCs w:val="22"/>
                <w:lang w:val="fr-FR" w:eastAsia="en-CA"/>
              </w:rPr>
            </w:pPr>
            <w:r w:rsidRPr="00C63A39">
              <w:rPr>
                <w:szCs w:val="22"/>
                <w:lang w:val="fr-FR"/>
              </w:rPr>
              <w:t>Ouganda</w:t>
            </w:r>
          </w:p>
        </w:tc>
        <w:tc>
          <w:tcPr>
            <w:tcW w:w="1540" w:type="dxa"/>
            <w:tcBorders>
              <w:top w:val="nil"/>
              <w:left w:val="nil"/>
              <w:bottom w:val="single" w:sz="4" w:space="0" w:color="auto"/>
              <w:right w:val="single" w:sz="4" w:space="0" w:color="auto"/>
            </w:tcBorders>
            <w:shd w:val="clear" w:color="auto" w:fill="auto"/>
            <w:vAlign w:val="center"/>
            <w:hideMark/>
          </w:tcPr>
          <w:p w14:paraId="500040CC" w14:textId="39E131C8" w:rsidR="0058665F" w:rsidRPr="00C63A39" w:rsidRDefault="0058665F" w:rsidP="0058665F">
            <w:pPr>
              <w:jc w:val="right"/>
              <w:rPr>
                <w:color w:val="000000"/>
                <w:kern w:val="22"/>
                <w:szCs w:val="22"/>
                <w:lang w:val="fr-FR" w:eastAsia="en-CA"/>
              </w:rPr>
            </w:pPr>
            <w:r w:rsidRPr="00C63A39">
              <w:rPr>
                <w:color w:val="000000"/>
                <w:kern w:val="22"/>
                <w:szCs w:val="22"/>
                <w:lang w:eastAsia="en-CA"/>
              </w:rPr>
              <w:t>0.008</w:t>
            </w:r>
          </w:p>
        </w:tc>
        <w:tc>
          <w:tcPr>
            <w:tcW w:w="1540" w:type="dxa"/>
            <w:tcBorders>
              <w:top w:val="nil"/>
              <w:left w:val="nil"/>
              <w:bottom w:val="single" w:sz="4" w:space="0" w:color="auto"/>
              <w:right w:val="single" w:sz="4" w:space="0" w:color="auto"/>
            </w:tcBorders>
            <w:shd w:val="clear" w:color="auto" w:fill="auto"/>
            <w:noWrap/>
            <w:vAlign w:val="center"/>
            <w:hideMark/>
          </w:tcPr>
          <w:p w14:paraId="34C2B70A" w14:textId="16E4FC2A" w:rsidR="0058665F" w:rsidRPr="00C63A39" w:rsidRDefault="0058665F" w:rsidP="0058665F">
            <w:pPr>
              <w:jc w:val="right"/>
              <w:rPr>
                <w:color w:val="000000"/>
                <w:kern w:val="22"/>
                <w:szCs w:val="22"/>
                <w:lang w:val="fr-FR" w:eastAsia="en-CA"/>
              </w:rPr>
            </w:pPr>
            <w:r w:rsidRPr="00C63A39">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2CF4C7CF" w14:textId="51312218" w:rsidR="0058665F" w:rsidRPr="00C63A39" w:rsidRDefault="0058665F" w:rsidP="0058665F">
            <w:pPr>
              <w:jc w:val="right"/>
              <w:rPr>
                <w:color w:val="000000"/>
                <w:kern w:val="22"/>
                <w:szCs w:val="22"/>
                <w:lang w:val="fr-FR" w:eastAsia="en-CA"/>
              </w:rPr>
            </w:pPr>
            <w:r w:rsidRPr="00C63A39">
              <w:rPr>
                <w:color w:val="000000"/>
                <w:kern w:val="22"/>
                <w:szCs w:val="22"/>
                <w:lang w:eastAsia="en-CA"/>
              </w:rPr>
              <w:t>1,140</w:t>
            </w:r>
          </w:p>
        </w:tc>
      </w:tr>
      <w:tr w:rsidR="0058665F" w:rsidRPr="00C63A39" w14:paraId="78CEA7D9"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79B7CD5A" w14:textId="157CA7A7" w:rsidR="0058665F" w:rsidRPr="00C63A39" w:rsidRDefault="0058665F" w:rsidP="0058665F">
            <w:pPr>
              <w:rPr>
                <w:color w:val="000000"/>
                <w:kern w:val="22"/>
                <w:szCs w:val="22"/>
                <w:lang w:val="fr-FR" w:eastAsia="en-CA"/>
              </w:rPr>
            </w:pPr>
            <w:r w:rsidRPr="00C63A39">
              <w:rPr>
                <w:szCs w:val="22"/>
                <w:lang w:val="fr-FR"/>
              </w:rPr>
              <w:t>Ukraine</w:t>
            </w:r>
          </w:p>
        </w:tc>
        <w:tc>
          <w:tcPr>
            <w:tcW w:w="1540" w:type="dxa"/>
            <w:tcBorders>
              <w:top w:val="nil"/>
              <w:left w:val="nil"/>
              <w:bottom w:val="single" w:sz="4" w:space="0" w:color="auto"/>
              <w:right w:val="single" w:sz="4" w:space="0" w:color="auto"/>
            </w:tcBorders>
            <w:shd w:val="clear" w:color="auto" w:fill="auto"/>
            <w:vAlign w:val="center"/>
            <w:hideMark/>
          </w:tcPr>
          <w:p w14:paraId="1B4DF7B3" w14:textId="45B5301C" w:rsidR="0058665F" w:rsidRPr="00C63A39" w:rsidRDefault="0058665F" w:rsidP="0058665F">
            <w:pPr>
              <w:jc w:val="right"/>
              <w:rPr>
                <w:color w:val="000000"/>
                <w:kern w:val="22"/>
                <w:szCs w:val="22"/>
                <w:lang w:val="fr-FR" w:eastAsia="en-CA"/>
              </w:rPr>
            </w:pPr>
            <w:r w:rsidRPr="00C63A39">
              <w:rPr>
                <w:color w:val="000000"/>
                <w:kern w:val="22"/>
                <w:szCs w:val="22"/>
                <w:lang w:eastAsia="en-CA"/>
              </w:rPr>
              <w:t>0.057</w:t>
            </w:r>
          </w:p>
        </w:tc>
        <w:tc>
          <w:tcPr>
            <w:tcW w:w="1540" w:type="dxa"/>
            <w:tcBorders>
              <w:top w:val="nil"/>
              <w:left w:val="nil"/>
              <w:bottom w:val="single" w:sz="4" w:space="0" w:color="auto"/>
              <w:right w:val="single" w:sz="4" w:space="0" w:color="auto"/>
            </w:tcBorders>
            <w:shd w:val="clear" w:color="auto" w:fill="auto"/>
            <w:noWrap/>
            <w:vAlign w:val="center"/>
            <w:hideMark/>
          </w:tcPr>
          <w:p w14:paraId="19244733" w14:textId="4A2ED470" w:rsidR="0058665F" w:rsidRPr="00C63A39" w:rsidRDefault="0058665F" w:rsidP="0058665F">
            <w:pPr>
              <w:jc w:val="right"/>
              <w:rPr>
                <w:color w:val="000000"/>
                <w:kern w:val="22"/>
                <w:szCs w:val="22"/>
                <w:lang w:val="fr-FR" w:eastAsia="en-CA"/>
              </w:rPr>
            </w:pPr>
            <w:r w:rsidRPr="00C63A39">
              <w:rPr>
                <w:color w:val="000000"/>
                <w:kern w:val="22"/>
                <w:szCs w:val="22"/>
                <w:lang w:eastAsia="en-CA"/>
              </w:rPr>
              <w:t>0.071</w:t>
            </w:r>
          </w:p>
        </w:tc>
        <w:tc>
          <w:tcPr>
            <w:tcW w:w="1540" w:type="dxa"/>
            <w:tcBorders>
              <w:top w:val="nil"/>
              <w:left w:val="nil"/>
              <w:bottom w:val="single" w:sz="4" w:space="0" w:color="auto"/>
              <w:right w:val="single" w:sz="4" w:space="0" w:color="auto"/>
            </w:tcBorders>
            <w:shd w:val="clear" w:color="auto" w:fill="auto"/>
            <w:noWrap/>
            <w:vAlign w:val="center"/>
            <w:hideMark/>
          </w:tcPr>
          <w:p w14:paraId="1FCC39B5" w14:textId="5AE29C10" w:rsidR="0058665F" w:rsidRPr="00C63A39" w:rsidRDefault="0058665F" w:rsidP="0058665F">
            <w:pPr>
              <w:jc w:val="right"/>
              <w:rPr>
                <w:color w:val="000000"/>
                <w:kern w:val="22"/>
                <w:szCs w:val="22"/>
                <w:lang w:val="fr-FR" w:eastAsia="en-CA"/>
              </w:rPr>
            </w:pPr>
            <w:r w:rsidRPr="00C63A39">
              <w:rPr>
                <w:color w:val="000000"/>
                <w:kern w:val="22"/>
                <w:szCs w:val="22"/>
                <w:lang w:eastAsia="en-CA"/>
              </w:rPr>
              <w:t>8,126</w:t>
            </w:r>
          </w:p>
        </w:tc>
      </w:tr>
      <w:tr w:rsidR="0058665F" w:rsidRPr="00C63A39" w14:paraId="4C47B225"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2B0A1A88" w14:textId="10988D99" w:rsidR="0058665F" w:rsidRPr="00C63A39" w:rsidRDefault="0058665F" w:rsidP="0058665F">
            <w:pPr>
              <w:rPr>
                <w:color w:val="000000"/>
                <w:kern w:val="22"/>
                <w:szCs w:val="22"/>
                <w:lang w:val="fr-FR" w:eastAsia="en-CA"/>
              </w:rPr>
            </w:pPr>
            <w:r w:rsidRPr="00C63A39">
              <w:rPr>
                <w:szCs w:val="22"/>
                <w:lang w:val="fr-FR"/>
              </w:rPr>
              <w:t>Émirats arabes unis</w:t>
            </w:r>
          </w:p>
        </w:tc>
        <w:tc>
          <w:tcPr>
            <w:tcW w:w="1540" w:type="dxa"/>
            <w:tcBorders>
              <w:top w:val="nil"/>
              <w:left w:val="nil"/>
              <w:bottom w:val="single" w:sz="4" w:space="0" w:color="auto"/>
              <w:right w:val="single" w:sz="4" w:space="0" w:color="auto"/>
            </w:tcBorders>
            <w:shd w:val="clear" w:color="auto" w:fill="auto"/>
            <w:vAlign w:val="center"/>
            <w:hideMark/>
          </w:tcPr>
          <w:p w14:paraId="3DA8A00F" w14:textId="432D3FC2" w:rsidR="0058665F" w:rsidRPr="00C63A39" w:rsidRDefault="0058665F" w:rsidP="0058665F">
            <w:pPr>
              <w:jc w:val="right"/>
              <w:rPr>
                <w:color w:val="000000"/>
                <w:kern w:val="22"/>
                <w:szCs w:val="22"/>
                <w:lang w:val="fr-FR" w:eastAsia="en-CA"/>
              </w:rPr>
            </w:pPr>
            <w:r w:rsidRPr="00C63A39">
              <w:rPr>
                <w:color w:val="000000"/>
                <w:kern w:val="22"/>
                <w:szCs w:val="22"/>
                <w:lang w:eastAsia="en-CA"/>
              </w:rPr>
              <w:t>0.616</w:t>
            </w:r>
          </w:p>
        </w:tc>
        <w:tc>
          <w:tcPr>
            <w:tcW w:w="1540" w:type="dxa"/>
            <w:tcBorders>
              <w:top w:val="nil"/>
              <w:left w:val="nil"/>
              <w:bottom w:val="single" w:sz="4" w:space="0" w:color="auto"/>
              <w:right w:val="single" w:sz="4" w:space="0" w:color="auto"/>
            </w:tcBorders>
            <w:shd w:val="clear" w:color="auto" w:fill="auto"/>
            <w:noWrap/>
            <w:vAlign w:val="center"/>
            <w:hideMark/>
          </w:tcPr>
          <w:p w14:paraId="09113253" w14:textId="577C7E15" w:rsidR="0058665F" w:rsidRPr="00C63A39" w:rsidRDefault="0058665F" w:rsidP="0058665F">
            <w:pPr>
              <w:jc w:val="right"/>
              <w:rPr>
                <w:color w:val="000000"/>
                <w:kern w:val="22"/>
                <w:szCs w:val="22"/>
                <w:lang w:val="fr-FR" w:eastAsia="en-CA"/>
              </w:rPr>
            </w:pPr>
            <w:r w:rsidRPr="00C63A39">
              <w:rPr>
                <w:color w:val="000000"/>
                <w:kern w:val="22"/>
                <w:szCs w:val="22"/>
                <w:lang w:eastAsia="en-CA"/>
              </w:rPr>
              <w:t>0.770</w:t>
            </w:r>
          </w:p>
        </w:tc>
        <w:tc>
          <w:tcPr>
            <w:tcW w:w="1540" w:type="dxa"/>
            <w:tcBorders>
              <w:top w:val="nil"/>
              <w:left w:val="nil"/>
              <w:bottom w:val="single" w:sz="4" w:space="0" w:color="auto"/>
              <w:right w:val="single" w:sz="4" w:space="0" w:color="auto"/>
            </w:tcBorders>
            <w:shd w:val="clear" w:color="auto" w:fill="auto"/>
            <w:noWrap/>
            <w:vAlign w:val="center"/>
            <w:hideMark/>
          </w:tcPr>
          <w:p w14:paraId="73C44994" w14:textId="6CFD4DB6" w:rsidR="0058665F" w:rsidRPr="00C63A39" w:rsidRDefault="0058665F" w:rsidP="0058665F">
            <w:pPr>
              <w:jc w:val="right"/>
              <w:rPr>
                <w:color w:val="000000"/>
                <w:kern w:val="22"/>
                <w:szCs w:val="22"/>
                <w:lang w:val="fr-FR" w:eastAsia="en-CA"/>
              </w:rPr>
            </w:pPr>
            <w:r w:rsidRPr="00C63A39">
              <w:rPr>
                <w:color w:val="000000"/>
                <w:kern w:val="22"/>
                <w:szCs w:val="22"/>
                <w:lang w:eastAsia="en-CA"/>
              </w:rPr>
              <w:t>87,817</w:t>
            </w:r>
          </w:p>
        </w:tc>
      </w:tr>
      <w:tr w:rsidR="0058665F" w:rsidRPr="00C63A39" w14:paraId="7FE2B868"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758A072F" w14:textId="1EFC5E23" w:rsidR="0058665F" w:rsidRPr="00C63A39" w:rsidRDefault="0058665F" w:rsidP="0058665F">
            <w:pPr>
              <w:rPr>
                <w:color w:val="000000"/>
                <w:kern w:val="22"/>
                <w:szCs w:val="22"/>
                <w:lang w:val="fr-FR" w:eastAsia="en-CA"/>
              </w:rPr>
            </w:pPr>
            <w:r w:rsidRPr="00C63A39">
              <w:rPr>
                <w:szCs w:val="22"/>
                <w:lang w:val="fr-FR"/>
              </w:rPr>
              <w:t>Royaume-Uni de Grande-Bretagne et d'Irlande du Nord</w:t>
            </w:r>
          </w:p>
        </w:tc>
        <w:tc>
          <w:tcPr>
            <w:tcW w:w="1540" w:type="dxa"/>
            <w:tcBorders>
              <w:top w:val="nil"/>
              <w:left w:val="nil"/>
              <w:bottom w:val="single" w:sz="4" w:space="0" w:color="auto"/>
              <w:right w:val="single" w:sz="4" w:space="0" w:color="auto"/>
            </w:tcBorders>
            <w:shd w:val="clear" w:color="auto" w:fill="auto"/>
            <w:vAlign w:val="center"/>
            <w:hideMark/>
          </w:tcPr>
          <w:p w14:paraId="4B429CCC" w14:textId="7677F0F8" w:rsidR="0058665F" w:rsidRPr="00C63A39" w:rsidRDefault="0058665F" w:rsidP="0058665F">
            <w:pPr>
              <w:jc w:val="right"/>
              <w:rPr>
                <w:color w:val="000000"/>
                <w:kern w:val="22"/>
                <w:szCs w:val="22"/>
                <w:lang w:val="fr-FR" w:eastAsia="en-CA"/>
              </w:rPr>
            </w:pPr>
            <w:r w:rsidRPr="00C63A39">
              <w:rPr>
                <w:color w:val="000000"/>
                <w:kern w:val="22"/>
                <w:szCs w:val="22"/>
                <w:lang w:eastAsia="en-CA"/>
              </w:rPr>
              <w:t>4.567</w:t>
            </w:r>
          </w:p>
        </w:tc>
        <w:tc>
          <w:tcPr>
            <w:tcW w:w="1540" w:type="dxa"/>
            <w:tcBorders>
              <w:top w:val="nil"/>
              <w:left w:val="nil"/>
              <w:bottom w:val="single" w:sz="4" w:space="0" w:color="auto"/>
              <w:right w:val="single" w:sz="4" w:space="0" w:color="auto"/>
            </w:tcBorders>
            <w:shd w:val="clear" w:color="auto" w:fill="auto"/>
            <w:noWrap/>
            <w:vAlign w:val="center"/>
            <w:hideMark/>
          </w:tcPr>
          <w:p w14:paraId="5586085D" w14:textId="0F47C304" w:rsidR="0058665F" w:rsidRPr="00C63A39" w:rsidRDefault="0058665F" w:rsidP="0058665F">
            <w:pPr>
              <w:jc w:val="right"/>
              <w:rPr>
                <w:color w:val="000000"/>
                <w:kern w:val="22"/>
                <w:szCs w:val="22"/>
                <w:lang w:val="fr-FR" w:eastAsia="en-CA"/>
              </w:rPr>
            </w:pPr>
            <w:r w:rsidRPr="00C63A39">
              <w:rPr>
                <w:color w:val="000000"/>
                <w:kern w:val="22"/>
                <w:szCs w:val="22"/>
                <w:lang w:eastAsia="en-CA"/>
              </w:rPr>
              <w:t>5.710</w:t>
            </w:r>
          </w:p>
        </w:tc>
        <w:tc>
          <w:tcPr>
            <w:tcW w:w="1540" w:type="dxa"/>
            <w:tcBorders>
              <w:top w:val="nil"/>
              <w:left w:val="nil"/>
              <w:bottom w:val="single" w:sz="4" w:space="0" w:color="auto"/>
              <w:right w:val="single" w:sz="4" w:space="0" w:color="auto"/>
            </w:tcBorders>
            <w:shd w:val="clear" w:color="auto" w:fill="auto"/>
            <w:noWrap/>
            <w:vAlign w:val="center"/>
            <w:hideMark/>
          </w:tcPr>
          <w:p w14:paraId="11FBB1DA" w14:textId="622B95A5" w:rsidR="0058665F" w:rsidRPr="00C63A39" w:rsidRDefault="0058665F" w:rsidP="0058665F">
            <w:pPr>
              <w:jc w:val="right"/>
              <w:rPr>
                <w:color w:val="000000"/>
                <w:kern w:val="22"/>
                <w:szCs w:val="22"/>
                <w:lang w:val="fr-FR" w:eastAsia="en-CA"/>
              </w:rPr>
            </w:pPr>
            <w:r w:rsidRPr="00C63A39">
              <w:rPr>
                <w:color w:val="000000"/>
                <w:kern w:val="22"/>
                <w:szCs w:val="22"/>
                <w:lang w:eastAsia="en-CA"/>
              </w:rPr>
              <w:t>651,069</w:t>
            </w:r>
          </w:p>
        </w:tc>
      </w:tr>
      <w:tr w:rsidR="0058665F" w:rsidRPr="00C63A39" w14:paraId="2717A156"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37C9612C" w14:textId="6397CFE2" w:rsidR="0058665F" w:rsidRPr="00C63A39" w:rsidRDefault="0058665F" w:rsidP="0058665F">
            <w:pPr>
              <w:rPr>
                <w:color w:val="000000"/>
                <w:kern w:val="22"/>
                <w:szCs w:val="22"/>
                <w:lang w:val="fr-FR" w:eastAsia="en-CA"/>
              </w:rPr>
            </w:pPr>
            <w:r w:rsidRPr="00C63A39">
              <w:rPr>
                <w:szCs w:val="22"/>
                <w:lang w:val="fr-FR"/>
              </w:rPr>
              <w:t>République-Unie de Tanzanie</w:t>
            </w:r>
          </w:p>
        </w:tc>
        <w:tc>
          <w:tcPr>
            <w:tcW w:w="1540" w:type="dxa"/>
            <w:tcBorders>
              <w:top w:val="nil"/>
              <w:left w:val="nil"/>
              <w:bottom w:val="single" w:sz="4" w:space="0" w:color="auto"/>
              <w:right w:val="single" w:sz="4" w:space="0" w:color="auto"/>
            </w:tcBorders>
            <w:shd w:val="clear" w:color="auto" w:fill="auto"/>
            <w:vAlign w:val="center"/>
            <w:hideMark/>
          </w:tcPr>
          <w:p w14:paraId="43A1A455" w14:textId="7AB64D7A" w:rsidR="0058665F" w:rsidRPr="00C63A39" w:rsidRDefault="0058665F" w:rsidP="0058665F">
            <w:pPr>
              <w:jc w:val="right"/>
              <w:rPr>
                <w:color w:val="000000"/>
                <w:kern w:val="22"/>
                <w:szCs w:val="22"/>
                <w:lang w:val="fr-FR" w:eastAsia="en-CA"/>
              </w:rPr>
            </w:pPr>
            <w:r w:rsidRPr="00C63A39">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2B2A386E" w14:textId="7B749715" w:rsidR="0058665F" w:rsidRPr="00C63A39" w:rsidRDefault="0058665F" w:rsidP="0058665F">
            <w:pPr>
              <w:jc w:val="right"/>
              <w:rPr>
                <w:color w:val="000000"/>
                <w:kern w:val="22"/>
                <w:szCs w:val="22"/>
                <w:lang w:val="fr-FR" w:eastAsia="en-CA"/>
              </w:rPr>
            </w:pPr>
            <w:r w:rsidRPr="00C63A39">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0DC3AEDA" w14:textId="7DAAFE6F" w:rsidR="0058665F" w:rsidRPr="00C63A39" w:rsidRDefault="0058665F" w:rsidP="0058665F">
            <w:pPr>
              <w:jc w:val="right"/>
              <w:rPr>
                <w:color w:val="000000"/>
                <w:kern w:val="22"/>
                <w:szCs w:val="22"/>
                <w:lang w:val="fr-FR" w:eastAsia="en-CA"/>
              </w:rPr>
            </w:pPr>
            <w:r w:rsidRPr="00C63A39">
              <w:rPr>
                <w:color w:val="000000"/>
                <w:kern w:val="22"/>
                <w:szCs w:val="22"/>
                <w:lang w:eastAsia="en-CA"/>
              </w:rPr>
              <w:t>1,140</w:t>
            </w:r>
          </w:p>
        </w:tc>
      </w:tr>
      <w:tr w:rsidR="0058665F" w:rsidRPr="00C63A39" w14:paraId="63C9136D"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5095264D" w14:textId="23859823" w:rsidR="0058665F" w:rsidRPr="00C63A39" w:rsidRDefault="0058665F" w:rsidP="0058665F">
            <w:pPr>
              <w:rPr>
                <w:color w:val="000000"/>
                <w:kern w:val="22"/>
                <w:szCs w:val="22"/>
                <w:lang w:val="fr-FR" w:eastAsia="en-CA"/>
              </w:rPr>
            </w:pPr>
            <w:r w:rsidRPr="00C63A39">
              <w:rPr>
                <w:szCs w:val="22"/>
                <w:lang w:val="fr-FR"/>
              </w:rPr>
              <w:t>Uruguay</w:t>
            </w:r>
          </w:p>
        </w:tc>
        <w:tc>
          <w:tcPr>
            <w:tcW w:w="1540" w:type="dxa"/>
            <w:tcBorders>
              <w:top w:val="nil"/>
              <w:left w:val="nil"/>
              <w:bottom w:val="single" w:sz="4" w:space="0" w:color="auto"/>
              <w:right w:val="single" w:sz="4" w:space="0" w:color="auto"/>
            </w:tcBorders>
            <w:shd w:val="clear" w:color="auto" w:fill="auto"/>
            <w:vAlign w:val="center"/>
            <w:hideMark/>
          </w:tcPr>
          <w:p w14:paraId="04EB2B72" w14:textId="457BF795" w:rsidR="0058665F" w:rsidRPr="00C63A39" w:rsidRDefault="0058665F" w:rsidP="0058665F">
            <w:pPr>
              <w:jc w:val="right"/>
              <w:rPr>
                <w:color w:val="000000"/>
                <w:kern w:val="22"/>
                <w:szCs w:val="22"/>
                <w:lang w:val="fr-FR" w:eastAsia="en-CA"/>
              </w:rPr>
            </w:pPr>
            <w:r w:rsidRPr="00C63A39">
              <w:rPr>
                <w:color w:val="000000"/>
                <w:kern w:val="22"/>
                <w:szCs w:val="22"/>
                <w:lang w:eastAsia="en-CA"/>
              </w:rPr>
              <w:t>0.087</w:t>
            </w:r>
          </w:p>
        </w:tc>
        <w:tc>
          <w:tcPr>
            <w:tcW w:w="1540" w:type="dxa"/>
            <w:tcBorders>
              <w:top w:val="nil"/>
              <w:left w:val="nil"/>
              <w:bottom w:val="single" w:sz="4" w:space="0" w:color="auto"/>
              <w:right w:val="single" w:sz="4" w:space="0" w:color="auto"/>
            </w:tcBorders>
            <w:shd w:val="clear" w:color="auto" w:fill="auto"/>
            <w:noWrap/>
            <w:vAlign w:val="center"/>
            <w:hideMark/>
          </w:tcPr>
          <w:p w14:paraId="4CEE753A" w14:textId="0A157DC4" w:rsidR="0058665F" w:rsidRPr="00C63A39" w:rsidRDefault="0058665F" w:rsidP="0058665F">
            <w:pPr>
              <w:jc w:val="right"/>
              <w:rPr>
                <w:color w:val="000000"/>
                <w:kern w:val="22"/>
                <w:szCs w:val="22"/>
                <w:lang w:val="fr-FR" w:eastAsia="en-CA"/>
              </w:rPr>
            </w:pPr>
            <w:r w:rsidRPr="00C63A39">
              <w:rPr>
                <w:color w:val="000000"/>
                <w:kern w:val="22"/>
                <w:szCs w:val="22"/>
                <w:lang w:eastAsia="en-CA"/>
              </w:rPr>
              <w:t>0.109</w:t>
            </w:r>
          </w:p>
        </w:tc>
        <w:tc>
          <w:tcPr>
            <w:tcW w:w="1540" w:type="dxa"/>
            <w:tcBorders>
              <w:top w:val="nil"/>
              <w:left w:val="nil"/>
              <w:bottom w:val="single" w:sz="4" w:space="0" w:color="auto"/>
              <w:right w:val="single" w:sz="4" w:space="0" w:color="auto"/>
            </w:tcBorders>
            <w:shd w:val="clear" w:color="auto" w:fill="auto"/>
            <w:noWrap/>
            <w:vAlign w:val="center"/>
            <w:hideMark/>
          </w:tcPr>
          <w:p w14:paraId="7314107A" w14:textId="40D98FB0" w:rsidR="0058665F" w:rsidRPr="00C63A39" w:rsidRDefault="0058665F" w:rsidP="0058665F">
            <w:pPr>
              <w:jc w:val="right"/>
              <w:rPr>
                <w:color w:val="000000"/>
                <w:kern w:val="22"/>
                <w:szCs w:val="22"/>
                <w:lang w:val="fr-FR" w:eastAsia="en-CA"/>
              </w:rPr>
            </w:pPr>
            <w:r w:rsidRPr="00C63A39">
              <w:rPr>
                <w:color w:val="000000"/>
                <w:kern w:val="22"/>
                <w:szCs w:val="22"/>
                <w:lang w:eastAsia="en-CA"/>
              </w:rPr>
              <w:t>12,403</w:t>
            </w:r>
          </w:p>
        </w:tc>
      </w:tr>
      <w:tr w:rsidR="0058665F" w:rsidRPr="00C63A39" w14:paraId="691522CA"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33FB2739" w14:textId="087BE1A6" w:rsidR="0058665F" w:rsidRPr="00C63A39" w:rsidRDefault="0058665F" w:rsidP="0058665F">
            <w:pPr>
              <w:rPr>
                <w:color w:val="000000"/>
                <w:kern w:val="22"/>
                <w:szCs w:val="22"/>
                <w:lang w:val="fr-FR" w:eastAsia="en-CA"/>
              </w:rPr>
            </w:pPr>
            <w:r w:rsidRPr="00C63A39">
              <w:rPr>
                <w:szCs w:val="22"/>
                <w:lang w:val="fr-FR"/>
              </w:rPr>
              <w:t>Ouzbékistan</w:t>
            </w:r>
          </w:p>
        </w:tc>
        <w:tc>
          <w:tcPr>
            <w:tcW w:w="1540" w:type="dxa"/>
            <w:tcBorders>
              <w:top w:val="nil"/>
              <w:left w:val="nil"/>
              <w:bottom w:val="single" w:sz="4" w:space="0" w:color="auto"/>
              <w:right w:val="single" w:sz="4" w:space="0" w:color="auto"/>
            </w:tcBorders>
            <w:shd w:val="clear" w:color="auto" w:fill="auto"/>
            <w:vAlign w:val="center"/>
            <w:hideMark/>
          </w:tcPr>
          <w:p w14:paraId="451C7B64" w14:textId="05C31A47" w:rsidR="0058665F" w:rsidRPr="00C63A39" w:rsidRDefault="0058665F" w:rsidP="0058665F">
            <w:pPr>
              <w:jc w:val="right"/>
              <w:rPr>
                <w:color w:val="000000"/>
                <w:kern w:val="22"/>
                <w:szCs w:val="22"/>
                <w:lang w:val="fr-FR" w:eastAsia="en-CA"/>
              </w:rPr>
            </w:pPr>
            <w:r w:rsidRPr="00C63A39">
              <w:rPr>
                <w:color w:val="000000"/>
                <w:kern w:val="22"/>
                <w:szCs w:val="22"/>
                <w:lang w:eastAsia="en-CA"/>
              </w:rPr>
              <w:t>0.032</w:t>
            </w:r>
          </w:p>
        </w:tc>
        <w:tc>
          <w:tcPr>
            <w:tcW w:w="1540" w:type="dxa"/>
            <w:tcBorders>
              <w:top w:val="nil"/>
              <w:left w:val="nil"/>
              <w:bottom w:val="single" w:sz="4" w:space="0" w:color="auto"/>
              <w:right w:val="single" w:sz="4" w:space="0" w:color="auto"/>
            </w:tcBorders>
            <w:shd w:val="clear" w:color="auto" w:fill="auto"/>
            <w:noWrap/>
            <w:vAlign w:val="center"/>
            <w:hideMark/>
          </w:tcPr>
          <w:p w14:paraId="70B68251" w14:textId="61641C26" w:rsidR="0058665F" w:rsidRPr="00C63A39" w:rsidRDefault="0058665F" w:rsidP="0058665F">
            <w:pPr>
              <w:jc w:val="right"/>
              <w:rPr>
                <w:color w:val="000000"/>
                <w:kern w:val="22"/>
                <w:szCs w:val="22"/>
                <w:lang w:val="fr-FR" w:eastAsia="en-CA"/>
              </w:rPr>
            </w:pPr>
            <w:r w:rsidRPr="00C63A39">
              <w:rPr>
                <w:color w:val="000000"/>
                <w:kern w:val="22"/>
                <w:szCs w:val="22"/>
                <w:lang w:eastAsia="en-CA"/>
              </w:rPr>
              <w:t>0.040</w:t>
            </w:r>
          </w:p>
        </w:tc>
        <w:tc>
          <w:tcPr>
            <w:tcW w:w="1540" w:type="dxa"/>
            <w:tcBorders>
              <w:top w:val="nil"/>
              <w:left w:val="nil"/>
              <w:bottom w:val="single" w:sz="4" w:space="0" w:color="auto"/>
              <w:right w:val="single" w:sz="4" w:space="0" w:color="auto"/>
            </w:tcBorders>
            <w:shd w:val="clear" w:color="auto" w:fill="auto"/>
            <w:noWrap/>
            <w:vAlign w:val="center"/>
            <w:hideMark/>
          </w:tcPr>
          <w:p w14:paraId="24B25936" w14:textId="77F7AD85" w:rsidR="0058665F" w:rsidRPr="00C63A39" w:rsidRDefault="0058665F" w:rsidP="0058665F">
            <w:pPr>
              <w:jc w:val="right"/>
              <w:rPr>
                <w:color w:val="000000"/>
                <w:kern w:val="22"/>
                <w:szCs w:val="22"/>
                <w:lang w:val="fr-FR" w:eastAsia="en-CA"/>
              </w:rPr>
            </w:pPr>
            <w:r w:rsidRPr="00C63A39">
              <w:rPr>
                <w:color w:val="000000"/>
                <w:kern w:val="22"/>
                <w:szCs w:val="22"/>
                <w:lang w:eastAsia="en-CA"/>
              </w:rPr>
              <w:t>4,562</w:t>
            </w:r>
          </w:p>
        </w:tc>
      </w:tr>
      <w:tr w:rsidR="0058665F" w:rsidRPr="00C63A39" w14:paraId="2E741DBF"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6AE485BC" w14:textId="080125F9" w:rsidR="0058665F" w:rsidRPr="00C63A39" w:rsidRDefault="0058665F" w:rsidP="0058665F">
            <w:pPr>
              <w:rPr>
                <w:color w:val="000000"/>
                <w:kern w:val="22"/>
                <w:szCs w:val="22"/>
                <w:lang w:val="fr-FR" w:eastAsia="en-CA"/>
              </w:rPr>
            </w:pPr>
            <w:r w:rsidRPr="00C63A39">
              <w:rPr>
                <w:szCs w:val="22"/>
                <w:lang w:val="fr-FR"/>
              </w:rPr>
              <w:t>Vanuatu</w:t>
            </w:r>
          </w:p>
        </w:tc>
        <w:tc>
          <w:tcPr>
            <w:tcW w:w="1540" w:type="dxa"/>
            <w:tcBorders>
              <w:top w:val="nil"/>
              <w:left w:val="nil"/>
              <w:bottom w:val="single" w:sz="4" w:space="0" w:color="auto"/>
              <w:right w:val="single" w:sz="4" w:space="0" w:color="auto"/>
            </w:tcBorders>
            <w:shd w:val="clear" w:color="auto" w:fill="auto"/>
            <w:vAlign w:val="center"/>
            <w:hideMark/>
          </w:tcPr>
          <w:p w14:paraId="5BEB5BC8" w14:textId="7975813B" w:rsidR="0058665F" w:rsidRPr="00C63A39" w:rsidRDefault="0058665F" w:rsidP="0058665F">
            <w:pPr>
              <w:jc w:val="right"/>
              <w:rPr>
                <w:color w:val="000000"/>
                <w:kern w:val="22"/>
                <w:szCs w:val="22"/>
                <w:lang w:val="fr-FR" w:eastAsia="en-CA"/>
              </w:rPr>
            </w:pPr>
            <w:r w:rsidRPr="00C63A39">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6F2CE371" w14:textId="0C892273" w:rsidR="0058665F" w:rsidRPr="00C63A39" w:rsidRDefault="0058665F" w:rsidP="0058665F">
            <w:pPr>
              <w:jc w:val="right"/>
              <w:rPr>
                <w:color w:val="000000"/>
                <w:kern w:val="22"/>
                <w:szCs w:val="22"/>
                <w:lang w:val="fr-FR" w:eastAsia="en-CA"/>
              </w:rPr>
            </w:pPr>
            <w:r w:rsidRPr="00C63A39">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281E5373" w14:textId="58B7C57C" w:rsidR="0058665F" w:rsidRPr="00C63A39" w:rsidRDefault="0058665F" w:rsidP="0058665F">
            <w:pPr>
              <w:jc w:val="right"/>
              <w:rPr>
                <w:color w:val="000000"/>
                <w:kern w:val="22"/>
                <w:szCs w:val="22"/>
                <w:lang w:val="fr-FR" w:eastAsia="en-CA"/>
              </w:rPr>
            </w:pPr>
            <w:r w:rsidRPr="00C63A39">
              <w:rPr>
                <w:color w:val="000000"/>
                <w:kern w:val="22"/>
                <w:szCs w:val="22"/>
                <w:lang w:eastAsia="en-CA"/>
              </w:rPr>
              <w:t>143</w:t>
            </w:r>
          </w:p>
        </w:tc>
      </w:tr>
      <w:tr w:rsidR="0058665F" w:rsidRPr="00C63A39" w14:paraId="084C6DD4"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37A6005A" w14:textId="6BA41418" w:rsidR="0058665F" w:rsidRPr="00C63A39" w:rsidRDefault="0058665F" w:rsidP="0058665F">
            <w:pPr>
              <w:rPr>
                <w:color w:val="000000"/>
                <w:kern w:val="22"/>
                <w:szCs w:val="22"/>
                <w:lang w:val="fr-FR" w:eastAsia="en-CA"/>
              </w:rPr>
            </w:pPr>
            <w:r w:rsidRPr="00C63A39">
              <w:rPr>
                <w:szCs w:val="22"/>
                <w:lang w:val="fr-FR"/>
              </w:rPr>
              <w:t xml:space="preserve">Venezuela (La République bolivarienne du) </w:t>
            </w:r>
          </w:p>
        </w:tc>
        <w:tc>
          <w:tcPr>
            <w:tcW w:w="1540" w:type="dxa"/>
            <w:tcBorders>
              <w:top w:val="nil"/>
              <w:left w:val="nil"/>
              <w:bottom w:val="single" w:sz="4" w:space="0" w:color="auto"/>
              <w:right w:val="single" w:sz="4" w:space="0" w:color="auto"/>
            </w:tcBorders>
            <w:shd w:val="clear" w:color="auto" w:fill="auto"/>
            <w:vAlign w:val="center"/>
            <w:hideMark/>
          </w:tcPr>
          <w:p w14:paraId="76685FF9" w14:textId="713DC6E6" w:rsidR="0058665F" w:rsidRPr="00C63A39" w:rsidRDefault="0058665F" w:rsidP="0058665F">
            <w:pPr>
              <w:jc w:val="right"/>
              <w:rPr>
                <w:color w:val="000000"/>
                <w:kern w:val="22"/>
                <w:szCs w:val="22"/>
                <w:lang w:val="fr-FR" w:eastAsia="en-CA"/>
              </w:rPr>
            </w:pPr>
            <w:r w:rsidRPr="00C63A39">
              <w:rPr>
                <w:color w:val="000000"/>
                <w:kern w:val="22"/>
                <w:szCs w:val="22"/>
                <w:lang w:eastAsia="en-CA"/>
              </w:rPr>
              <w:t>0.728</w:t>
            </w:r>
          </w:p>
        </w:tc>
        <w:tc>
          <w:tcPr>
            <w:tcW w:w="1540" w:type="dxa"/>
            <w:tcBorders>
              <w:top w:val="nil"/>
              <w:left w:val="nil"/>
              <w:bottom w:val="single" w:sz="4" w:space="0" w:color="auto"/>
              <w:right w:val="single" w:sz="4" w:space="0" w:color="auto"/>
            </w:tcBorders>
            <w:shd w:val="clear" w:color="auto" w:fill="auto"/>
            <w:noWrap/>
            <w:vAlign w:val="center"/>
            <w:hideMark/>
          </w:tcPr>
          <w:p w14:paraId="1D36C726" w14:textId="44D7BFC6" w:rsidR="0058665F" w:rsidRPr="00C63A39" w:rsidRDefault="0058665F" w:rsidP="0058665F">
            <w:pPr>
              <w:jc w:val="right"/>
              <w:rPr>
                <w:color w:val="000000"/>
                <w:kern w:val="22"/>
                <w:szCs w:val="22"/>
                <w:lang w:val="fr-FR" w:eastAsia="en-CA"/>
              </w:rPr>
            </w:pPr>
            <w:r w:rsidRPr="00C63A39">
              <w:rPr>
                <w:color w:val="000000"/>
                <w:kern w:val="22"/>
                <w:szCs w:val="22"/>
                <w:lang w:eastAsia="en-CA"/>
              </w:rPr>
              <w:t>0.910</w:t>
            </w:r>
          </w:p>
        </w:tc>
        <w:tc>
          <w:tcPr>
            <w:tcW w:w="1540" w:type="dxa"/>
            <w:tcBorders>
              <w:top w:val="nil"/>
              <w:left w:val="nil"/>
              <w:bottom w:val="single" w:sz="4" w:space="0" w:color="auto"/>
              <w:right w:val="single" w:sz="4" w:space="0" w:color="auto"/>
            </w:tcBorders>
            <w:shd w:val="clear" w:color="auto" w:fill="auto"/>
            <w:noWrap/>
            <w:vAlign w:val="center"/>
            <w:hideMark/>
          </w:tcPr>
          <w:p w14:paraId="5982C1AA" w14:textId="20103BC0" w:rsidR="0058665F" w:rsidRPr="00C63A39" w:rsidRDefault="0058665F" w:rsidP="0058665F">
            <w:pPr>
              <w:jc w:val="right"/>
              <w:rPr>
                <w:color w:val="000000"/>
                <w:kern w:val="22"/>
                <w:szCs w:val="22"/>
                <w:lang w:val="fr-FR" w:eastAsia="en-CA"/>
              </w:rPr>
            </w:pPr>
            <w:r w:rsidRPr="00C63A39">
              <w:rPr>
                <w:color w:val="000000"/>
                <w:kern w:val="22"/>
                <w:szCs w:val="22"/>
                <w:lang w:eastAsia="en-CA"/>
              </w:rPr>
              <w:t>103,783</w:t>
            </w:r>
          </w:p>
        </w:tc>
      </w:tr>
      <w:tr w:rsidR="0058665F" w:rsidRPr="00C63A39" w14:paraId="1906E31D"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771E1409" w14:textId="3D921895" w:rsidR="0058665F" w:rsidRPr="00C63A39" w:rsidRDefault="0058665F" w:rsidP="0058665F">
            <w:pPr>
              <w:rPr>
                <w:color w:val="000000"/>
                <w:kern w:val="22"/>
                <w:szCs w:val="22"/>
                <w:lang w:val="fr-FR" w:eastAsia="en-CA"/>
              </w:rPr>
            </w:pPr>
            <w:r w:rsidRPr="00C63A39">
              <w:rPr>
                <w:szCs w:val="22"/>
                <w:lang w:val="fr-FR"/>
              </w:rPr>
              <w:t>Le Viêt Nam</w:t>
            </w:r>
          </w:p>
        </w:tc>
        <w:tc>
          <w:tcPr>
            <w:tcW w:w="1540" w:type="dxa"/>
            <w:tcBorders>
              <w:top w:val="nil"/>
              <w:left w:val="nil"/>
              <w:bottom w:val="single" w:sz="4" w:space="0" w:color="auto"/>
              <w:right w:val="single" w:sz="4" w:space="0" w:color="auto"/>
            </w:tcBorders>
            <w:shd w:val="clear" w:color="auto" w:fill="auto"/>
            <w:vAlign w:val="center"/>
            <w:hideMark/>
          </w:tcPr>
          <w:p w14:paraId="57F39C0C" w14:textId="4EEB24EC" w:rsidR="0058665F" w:rsidRPr="00C63A39" w:rsidRDefault="0058665F" w:rsidP="0058665F">
            <w:pPr>
              <w:jc w:val="right"/>
              <w:rPr>
                <w:color w:val="000000"/>
                <w:kern w:val="22"/>
                <w:szCs w:val="22"/>
                <w:lang w:val="fr-FR" w:eastAsia="en-CA"/>
              </w:rPr>
            </w:pPr>
            <w:r w:rsidRPr="00C63A39">
              <w:rPr>
                <w:color w:val="000000"/>
                <w:kern w:val="22"/>
                <w:szCs w:val="22"/>
                <w:lang w:eastAsia="en-CA"/>
              </w:rPr>
              <w:t>0.077</w:t>
            </w:r>
          </w:p>
        </w:tc>
        <w:tc>
          <w:tcPr>
            <w:tcW w:w="1540" w:type="dxa"/>
            <w:tcBorders>
              <w:top w:val="nil"/>
              <w:left w:val="nil"/>
              <w:bottom w:val="single" w:sz="4" w:space="0" w:color="auto"/>
              <w:right w:val="single" w:sz="4" w:space="0" w:color="auto"/>
            </w:tcBorders>
            <w:shd w:val="clear" w:color="auto" w:fill="auto"/>
            <w:noWrap/>
            <w:vAlign w:val="center"/>
            <w:hideMark/>
          </w:tcPr>
          <w:p w14:paraId="37B65F16" w14:textId="10E72DDC" w:rsidR="0058665F" w:rsidRPr="00C63A39" w:rsidRDefault="0058665F" w:rsidP="0058665F">
            <w:pPr>
              <w:jc w:val="right"/>
              <w:rPr>
                <w:color w:val="000000"/>
                <w:kern w:val="22"/>
                <w:szCs w:val="22"/>
                <w:lang w:val="fr-FR" w:eastAsia="en-CA"/>
              </w:rPr>
            </w:pPr>
            <w:r w:rsidRPr="00C63A39">
              <w:rPr>
                <w:color w:val="000000"/>
                <w:kern w:val="22"/>
                <w:szCs w:val="22"/>
                <w:lang w:eastAsia="en-CA"/>
              </w:rPr>
              <w:t>0.096</w:t>
            </w:r>
          </w:p>
        </w:tc>
        <w:tc>
          <w:tcPr>
            <w:tcW w:w="1540" w:type="dxa"/>
            <w:tcBorders>
              <w:top w:val="nil"/>
              <w:left w:val="nil"/>
              <w:bottom w:val="single" w:sz="4" w:space="0" w:color="auto"/>
              <w:right w:val="single" w:sz="4" w:space="0" w:color="auto"/>
            </w:tcBorders>
            <w:shd w:val="clear" w:color="auto" w:fill="auto"/>
            <w:noWrap/>
            <w:vAlign w:val="center"/>
            <w:hideMark/>
          </w:tcPr>
          <w:p w14:paraId="6A6AA9F4" w14:textId="49B34D7D" w:rsidR="0058665F" w:rsidRPr="00C63A39" w:rsidRDefault="0058665F" w:rsidP="0058665F">
            <w:pPr>
              <w:jc w:val="right"/>
              <w:rPr>
                <w:color w:val="000000"/>
                <w:kern w:val="22"/>
                <w:szCs w:val="22"/>
                <w:lang w:val="fr-FR" w:eastAsia="en-CA"/>
              </w:rPr>
            </w:pPr>
            <w:r w:rsidRPr="00C63A39">
              <w:rPr>
                <w:color w:val="000000"/>
                <w:kern w:val="22"/>
                <w:szCs w:val="22"/>
                <w:lang w:eastAsia="en-CA"/>
              </w:rPr>
              <w:t>10,977</w:t>
            </w:r>
          </w:p>
        </w:tc>
      </w:tr>
      <w:tr w:rsidR="0058665F" w:rsidRPr="00C63A39" w14:paraId="624AD75D"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38439179" w14:textId="49DDBABC" w:rsidR="0058665F" w:rsidRPr="00C63A39" w:rsidRDefault="0058665F" w:rsidP="0058665F">
            <w:pPr>
              <w:rPr>
                <w:color w:val="000000"/>
                <w:kern w:val="22"/>
                <w:szCs w:val="22"/>
                <w:lang w:val="fr-FR" w:eastAsia="en-CA"/>
              </w:rPr>
            </w:pPr>
            <w:r w:rsidRPr="00C63A39">
              <w:rPr>
                <w:szCs w:val="22"/>
                <w:lang w:val="fr-FR"/>
              </w:rPr>
              <w:t>Yémen</w:t>
            </w:r>
          </w:p>
        </w:tc>
        <w:tc>
          <w:tcPr>
            <w:tcW w:w="1540" w:type="dxa"/>
            <w:tcBorders>
              <w:top w:val="nil"/>
              <w:left w:val="nil"/>
              <w:bottom w:val="single" w:sz="4" w:space="0" w:color="auto"/>
              <w:right w:val="single" w:sz="4" w:space="0" w:color="auto"/>
            </w:tcBorders>
            <w:shd w:val="clear" w:color="auto" w:fill="auto"/>
            <w:vAlign w:val="center"/>
            <w:hideMark/>
          </w:tcPr>
          <w:p w14:paraId="1330A2CE" w14:textId="587E85B4" w:rsidR="0058665F" w:rsidRPr="00C63A39" w:rsidRDefault="0058665F" w:rsidP="0058665F">
            <w:pPr>
              <w:jc w:val="right"/>
              <w:rPr>
                <w:color w:val="000000"/>
                <w:kern w:val="22"/>
                <w:szCs w:val="22"/>
                <w:lang w:val="fr-FR" w:eastAsia="en-CA"/>
              </w:rPr>
            </w:pPr>
            <w:r w:rsidRPr="00C63A39">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4BE27620" w14:textId="00A5FA44" w:rsidR="0058665F" w:rsidRPr="00C63A39" w:rsidRDefault="0058665F" w:rsidP="0058665F">
            <w:pPr>
              <w:jc w:val="right"/>
              <w:rPr>
                <w:color w:val="000000"/>
                <w:kern w:val="22"/>
                <w:szCs w:val="22"/>
                <w:lang w:val="fr-FR" w:eastAsia="en-CA"/>
              </w:rPr>
            </w:pPr>
            <w:r w:rsidRPr="00C63A39">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49DA99CB" w14:textId="67F7ED36" w:rsidR="0058665F" w:rsidRPr="00C63A39" w:rsidRDefault="0058665F" w:rsidP="0058665F">
            <w:pPr>
              <w:jc w:val="right"/>
              <w:rPr>
                <w:color w:val="000000"/>
                <w:kern w:val="22"/>
                <w:szCs w:val="22"/>
                <w:lang w:val="fr-FR" w:eastAsia="en-CA"/>
              </w:rPr>
            </w:pPr>
            <w:r w:rsidRPr="00C63A39">
              <w:rPr>
                <w:color w:val="000000"/>
                <w:kern w:val="22"/>
                <w:szCs w:val="22"/>
                <w:lang w:eastAsia="en-CA"/>
              </w:rPr>
              <w:t>1,140</w:t>
            </w:r>
          </w:p>
        </w:tc>
      </w:tr>
      <w:tr w:rsidR="0058665F" w:rsidRPr="00C63A39" w14:paraId="308210AD"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6C34E3B9" w14:textId="04EAA38D" w:rsidR="0058665F" w:rsidRPr="00C63A39" w:rsidRDefault="0058665F" w:rsidP="0058665F">
            <w:pPr>
              <w:rPr>
                <w:color w:val="000000"/>
                <w:kern w:val="22"/>
                <w:szCs w:val="22"/>
                <w:lang w:val="fr-FR" w:eastAsia="en-CA"/>
              </w:rPr>
            </w:pPr>
            <w:r w:rsidRPr="00C63A39">
              <w:rPr>
                <w:szCs w:val="22"/>
                <w:lang w:val="fr-FR"/>
              </w:rPr>
              <w:t>Zambie</w:t>
            </w:r>
          </w:p>
        </w:tc>
        <w:tc>
          <w:tcPr>
            <w:tcW w:w="1540" w:type="dxa"/>
            <w:tcBorders>
              <w:top w:val="nil"/>
              <w:left w:val="nil"/>
              <w:bottom w:val="single" w:sz="4" w:space="0" w:color="auto"/>
              <w:right w:val="single" w:sz="4" w:space="0" w:color="auto"/>
            </w:tcBorders>
            <w:shd w:val="clear" w:color="auto" w:fill="auto"/>
            <w:vAlign w:val="center"/>
            <w:hideMark/>
          </w:tcPr>
          <w:p w14:paraId="44112159" w14:textId="11633FA8" w:rsidR="0058665F" w:rsidRPr="00C63A39" w:rsidRDefault="0058665F" w:rsidP="0058665F">
            <w:pPr>
              <w:jc w:val="right"/>
              <w:rPr>
                <w:color w:val="000000"/>
                <w:kern w:val="22"/>
                <w:szCs w:val="22"/>
                <w:lang w:val="fr-FR" w:eastAsia="en-CA"/>
              </w:rPr>
            </w:pPr>
            <w:r w:rsidRPr="00C63A39">
              <w:rPr>
                <w:color w:val="000000"/>
                <w:kern w:val="22"/>
                <w:szCs w:val="22"/>
                <w:lang w:eastAsia="en-CA"/>
              </w:rPr>
              <w:t>0.009</w:t>
            </w:r>
          </w:p>
        </w:tc>
        <w:tc>
          <w:tcPr>
            <w:tcW w:w="1540" w:type="dxa"/>
            <w:tcBorders>
              <w:top w:val="nil"/>
              <w:left w:val="nil"/>
              <w:bottom w:val="single" w:sz="4" w:space="0" w:color="auto"/>
              <w:right w:val="single" w:sz="4" w:space="0" w:color="auto"/>
            </w:tcBorders>
            <w:shd w:val="clear" w:color="auto" w:fill="auto"/>
            <w:noWrap/>
            <w:vAlign w:val="center"/>
            <w:hideMark/>
          </w:tcPr>
          <w:p w14:paraId="603937F6" w14:textId="02EE76C9" w:rsidR="0058665F" w:rsidRPr="00C63A39" w:rsidRDefault="0058665F" w:rsidP="0058665F">
            <w:pPr>
              <w:jc w:val="right"/>
              <w:rPr>
                <w:color w:val="000000"/>
                <w:kern w:val="22"/>
                <w:szCs w:val="22"/>
                <w:lang w:val="fr-FR" w:eastAsia="en-CA"/>
              </w:rPr>
            </w:pPr>
            <w:r w:rsidRPr="00C63A39">
              <w:rPr>
                <w:color w:val="000000"/>
                <w:kern w:val="22"/>
                <w:szCs w:val="22"/>
                <w:lang w:eastAsia="en-CA"/>
              </w:rPr>
              <w:t>0.011</w:t>
            </w:r>
          </w:p>
        </w:tc>
        <w:tc>
          <w:tcPr>
            <w:tcW w:w="1540" w:type="dxa"/>
            <w:tcBorders>
              <w:top w:val="nil"/>
              <w:left w:val="nil"/>
              <w:bottom w:val="single" w:sz="4" w:space="0" w:color="auto"/>
              <w:right w:val="single" w:sz="4" w:space="0" w:color="auto"/>
            </w:tcBorders>
            <w:shd w:val="clear" w:color="auto" w:fill="auto"/>
            <w:noWrap/>
            <w:vAlign w:val="center"/>
            <w:hideMark/>
          </w:tcPr>
          <w:p w14:paraId="0E24B009" w14:textId="374FDF8A" w:rsidR="0058665F" w:rsidRPr="00C63A39" w:rsidRDefault="0058665F" w:rsidP="0058665F">
            <w:pPr>
              <w:jc w:val="right"/>
              <w:rPr>
                <w:color w:val="000000"/>
                <w:kern w:val="22"/>
                <w:szCs w:val="22"/>
                <w:lang w:val="fr-FR" w:eastAsia="en-CA"/>
              </w:rPr>
            </w:pPr>
            <w:r w:rsidRPr="00C63A39">
              <w:rPr>
                <w:color w:val="000000"/>
                <w:kern w:val="22"/>
                <w:szCs w:val="22"/>
                <w:lang w:eastAsia="en-CA"/>
              </w:rPr>
              <w:t>1,283</w:t>
            </w:r>
          </w:p>
        </w:tc>
      </w:tr>
      <w:tr w:rsidR="0058665F" w:rsidRPr="00C63A39" w14:paraId="3E62BAF1"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08C69AA9" w14:textId="2CDFC1B4" w:rsidR="0058665F" w:rsidRPr="00C63A39" w:rsidRDefault="0058665F" w:rsidP="0058665F">
            <w:pPr>
              <w:rPr>
                <w:color w:val="000000"/>
                <w:kern w:val="22"/>
                <w:szCs w:val="22"/>
                <w:lang w:val="fr-FR" w:eastAsia="en-CA"/>
              </w:rPr>
            </w:pPr>
            <w:r w:rsidRPr="00C63A39">
              <w:rPr>
                <w:szCs w:val="22"/>
                <w:lang w:val="fr-FR"/>
              </w:rPr>
              <w:t>Zimbabwe</w:t>
            </w:r>
          </w:p>
        </w:tc>
        <w:tc>
          <w:tcPr>
            <w:tcW w:w="1540" w:type="dxa"/>
            <w:tcBorders>
              <w:top w:val="nil"/>
              <w:left w:val="nil"/>
              <w:bottom w:val="single" w:sz="4" w:space="0" w:color="auto"/>
              <w:right w:val="single" w:sz="4" w:space="0" w:color="auto"/>
            </w:tcBorders>
            <w:shd w:val="clear" w:color="auto" w:fill="auto"/>
            <w:vAlign w:val="center"/>
            <w:hideMark/>
          </w:tcPr>
          <w:p w14:paraId="462808C1" w14:textId="34A9BC50" w:rsidR="0058665F" w:rsidRPr="00C63A39" w:rsidRDefault="0058665F" w:rsidP="0058665F">
            <w:pPr>
              <w:jc w:val="right"/>
              <w:rPr>
                <w:color w:val="000000"/>
                <w:kern w:val="22"/>
                <w:szCs w:val="22"/>
                <w:lang w:val="fr-FR" w:eastAsia="en-CA"/>
              </w:rPr>
            </w:pPr>
            <w:r w:rsidRPr="00C63A39">
              <w:rPr>
                <w:color w:val="000000"/>
                <w:kern w:val="22"/>
                <w:szCs w:val="22"/>
                <w:lang w:eastAsia="en-CA"/>
              </w:rPr>
              <w:t>0.005</w:t>
            </w:r>
          </w:p>
        </w:tc>
        <w:tc>
          <w:tcPr>
            <w:tcW w:w="1540" w:type="dxa"/>
            <w:tcBorders>
              <w:top w:val="nil"/>
              <w:left w:val="nil"/>
              <w:bottom w:val="single" w:sz="4" w:space="0" w:color="auto"/>
              <w:right w:val="single" w:sz="4" w:space="0" w:color="auto"/>
            </w:tcBorders>
            <w:shd w:val="clear" w:color="auto" w:fill="auto"/>
            <w:noWrap/>
            <w:vAlign w:val="center"/>
            <w:hideMark/>
          </w:tcPr>
          <w:p w14:paraId="08E4B945" w14:textId="1079E48D" w:rsidR="0058665F" w:rsidRPr="00C63A39" w:rsidRDefault="0058665F" w:rsidP="0058665F">
            <w:pPr>
              <w:jc w:val="right"/>
              <w:rPr>
                <w:color w:val="000000"/>
                <w:kern w:val="22"/>
                <w:szCs w:val="22"/>
                <w:lang w:val="fr-FR" w:eastAsia="en-CA"/>
              </w:rPr>
            </w:pPr>
            <w:r w:rsidRPr="00C63A39">
              <w:rPr>
                <w:color w:val="000000"/>
                <w:kern w:val="22"/>
                <w:szCs w:val="22"/>
                <w:lang w:eastAsia="en-CA"/>
              </w:rPr>
              <w:t>0.006</w:t>
            </w:r>
          </w:p>
        </w:tc>
        <w:tc>
          <w:tcPr>
            <w:tcW w:w="1540" w:type="dxa"/>
            <w:tcBorders>
              <w:top w:val="nil"/>
              <w:left w:val="nil"/>
              <w:bottom w:val="single" w:sz="4" w:space="0" w:color="auto"/>
              <w:right w:val="single" w:sz="4" w:space="0" w:color="auto"/>
            </w:tcBorders>
            <w:shd w:val="clear" w:color="auto" w:fill="auto"/>
            <w:noWrap/>
            <w:vAlign w:val="center"/>
            <w:hideMark/>
          </w:tcPr>
          <w:p w14:paraId="49A447C9" w14:textId="03CC79E5" w:rsidR="0058665F" w:rsidRPr="00C63A39" w:rsidRDefault="0058665F" w:rsidP="0058665F">
            <w:pPr>
              <w:jc w:val="right"/>
              <w:rPr>
                <w:color w:val="000000"/>
                <w:kern w:val="22"/>
                <w:szCs w:val="22"/>
                <w:lang w:val="fr-FR" w:eastAsia="en-CA"/>
              </w:rPr>
            </w:pPr>
            <w:r w:rsidRPr="00C63A39">
              <w:rPr>
                <w:color w:val="000000"/>
                <w:kern w:val="22"/>
                <w:szCs w:val="22"/>
                <w:lang w:eastAsia="en-CA"/>
              </w:rPr>
              <w:t>713</w:t>
            </w:r>
          </w:p>
        </w:tc>
      </w:tr>
      <w:tr w:rsidR="0058665F" w:rsidRPr="00C63A39" w14:paraId="572C91BD"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6CAA8FFB" w14:textId="4D869F0E" w:rsidR="0058665F" w:rsidRPr="00B90371" w:rsidRDefault="0058665F" w:rsidP="0058665F">
            <w:pPr>
              <w:rPr>
                <w:b/>
                <w:bCs/>
                <w:color w:val="000000"/>
                <w:kern w:val="22"/>
                <w:szCs w:val="22"/>
                <w:lang w:val="fr-FR" w:eastAsia="en-CA"/>
              </w:rPr>
            </w:pPr>
            <w:r w:rsidRPr="00B90371">
              <w:rPr>
                <w:b/>
                <w:bCs/>
                <w:szCs w:val="22"/>
                <w:lang w:val="fr-FR"/>
              </w:rPr>
              <w:t>Total</w:t>
            </w:r>
          </w:p>
        </w:tc>
        <w:tc>
          <w:tcPr>
            <w:tcW w:w="1540" w:type="dxa"/>
            <w:tcBorders>
              <w:top w:val="nil"/>
              <w:left w:val="nil"/>
              <w:bottom w:val="single" w:sz="4" w:space="0" w:color="auto"/>
              <w:right w:val="single" w:sz="4" w:space="0" w:color="auto"/>
            </w:tcBorders>
            <w:shd w:val="clear" w:color="auto" w:fill="auto"/>
            <w:vAlign w:val="center"/>
            <w:hideMark/>
          </w:tcPr>
          <w:p w14:paraId="6662879E" w14:textId="310404D1" w:rsidR="0058665F" w:rsidRPr="00C63A39" w:rsidRDefault="0058665F" w:rsidP="0058665F">
            <w:pPr>
              <w:jc w:val="right"/>
              <w:rPr>
                <w:b/>
                <w:bCs/>
                <w:color w:val="000000"/>
                <w:kern w:val="22"/>
                <w:szCs w:val="22"/>
                <w:lang w:val="fr-FR" w:eastAsia="en-CA"/>
              </w:rPr>
            </w:pPr>
            <w:r w:rsidRPr="00C63A39">
              <w:rPr>
                <w:b/>
                <w:bCs/>
                <w:color w:val="000000"/>
                <w:kern w:val="22"/>
                <w:szCs w:val="22"/>
                <w:lang w:val="fr-FR" w:eastAsia="en-CA"/>
              </w:rPr>
              <w:t xml:space="preserve">78.010 </w:t>
            </w:r>
          </w:p>
        </w:tc>
        <w:tc>
          <w:tcPr>
            <w:tcW w:w="1540" w:type="dxa"/>
            <w:tcBorders>
              <w:top w:val="nil"/>
              <w:left w:val="nil"/>
              <w:bottom w:val="single" w:sz="4" w:space="0" w:color="auto"/>
              <w:right w:val="single" w:sz="4" w:space="0" w:color="auto"/>
            </w:tcBorders>
            <w:shd w:val="clear" w:color="auto" w:fill="auto"/>
            <w:noWrap/>
            <w:vAlign w:val="center"/>
            <w:hideMark/>
          </w:tcPr>
          <w:p w14:paraId="6CF9A6EA" w14:textId="7326C840" w:rsidR="0058665F" w:rsidRPr="00C63A39" w:rsidRDefault="0058665F" w:rsidP="0058665F">
            <w:pPr>
              <w:jc w:val="right"/>
              <w:rPr>
                <w:b/>
                <w:bCs/>
                <w:color w:val="000000"/>
                <w:kern w:val="22"/>
                <w:szCs w:val="22"/>
                <w:lang w:val="fr-FR" w:eastAsia="en-CA"/>
              </w:rPr>
            </w:pPr>
            <w:r w:rsidRPr="00C63A39">
              <w:rPr>
                <w:b/>
                <w:bCs/>
                <w:color w:val="000000"/>
                <w:kern w:val="22"/>
                <w:szCs w:val="22"/>
                <w:lang w:val="fr-FR" w:eastAsia="en-CA"/>
              </w:rPr>
              <w:t xml:space="preserve">100.000 </w:t>
            </w:r>
          </w:p>
        </w:tc>
        <w:tc>
          <w:tcPr>
            <w:tcW w:w="1540" w:type="dxa"/>
            <w:tcBorders>
              <w:top w:val="nil"/>
              <w:left w:val="nil"/>
              <w:bottom w:val="single" w:sz="4" w:space="0" w:color="auto"/>
              <w:right w:val="single" w:sz="4" w:space="0" w:color="auto"/>
            </w:tcBorders>
            <w:shd w:val="clear" w:color="auto" w:fill="auto"/>
            <w:noWrap/>
            <w:vAlign w:val="center"/>
            <w:hideMark/>
          </w:tcPr>
          <w:p w14:paraId="40855C23" w14:textId="0CEFAF64" w:rsidR="0058665F" w:rsidRPr="00C63A39" w:rsidRDefault="0058665F" w:rsidP="0058665F">
            <w:pPr>
              <w:jc w:val="right"/>
              <w:rPr>
                <w:b/>
                <w:bCs/>
                <w:color w:val="000000"/>
                <w:kern w:val="22"/>
                <w:szCs w:val="22"/>
                <w:lang w:val="fr-FR" w:eastAsia="en-CA"/>
              </w:rPr>
            </w:pPr>
            <w:r w:rsidRPr="00C63A39">
              <w:rPr>
                <w:b/>
                <w:bCs/>
                <w:color w:val="000000"/>
                <w:kern w:val="22"/>
                <w:szCs w:val="22"/>
                <w:lang w:val="fr-FR" w:eastAsia="en-CA"/>
              </w:rPr>
              <w:t>11,402,700</w:t>
            </w:r>
          </w:p>
        </w:tc>
      </w:tr>
    </w:tbl>
    <w:p w14:paraId="0B5DA9BB" w14:textId="77777777" w:rsidR="001C157D" w:rsidRDefault="001C157D" w:rsidP="0079737F">
      <w:pPr>
        <w:spacing w:after="160" w:line="259" w:lineRule="auto"/>
        <w:rPr>
          <w:rFonts w:eastAsiaTheme="minorEastAsia"/>
          <w:bCs/>
          <w:kern w:val="22"/>
          <w:szCs w:val="22"/>
          <w:lang w:val="fr-FR"/>
        </w:rPr>
      </w:pPr>
    </w:p>
    <w:p w14:paraId="4FD52857" w14:textId="77777777" w:rsidR="001C157D" w:rsidRDefault="001C157D" w:rsidP="0079737F">
      <w:pPr>
        <w:spacing w:after="160" w:line="259" w:lineRule="auto"/>
        <w:rPr>
          <w:rFonts w:eastAsiaTheme="minorEastAsia"/>
          <w:b/>
          <w:kern w:val="22"/>
          <w:szCs w:val="22"/>
          <w:lang w:val="fr-FR"/>
        </w:rPr>
      </w:pPr>
    </w:p>
    <w:p w14:paraId="2FDC88EF" w14:textId="77777777" w:rsidR="001C157D" w:rsidRDefault="001C157D" w:rsidP="0079737F">
      <w:pPr>
        <w:spacing w:after="160" w:line="259" w:lineRule="auto"/>
        <w:rPr>
          <w:rFonts w:eastAsiaTheme="minorEastAsia"/>
          <w:b/>
          <w:kern w:val="22"/>
          <w:szCs w:val="22"/>
          <w:lang w:val="fr-FR"/>
        </w:rPr>
      </w:pPr>
    </w:p>
    <w:p w14:paraId="7C4072C1" w14:textId="5E622938" w:rsidR="0008575E" w:rsidRDefault="0008575E" w:rsidP="003D3DDF">
      <w:pPr>
        <w:autoSpaceDE w:val="0"/>
        <w:autoSpaceDN w:val="0"/>
        <w:adjustRightInd w:val="0"/>
        <w:rPr>
          <w:rFonts w:eastAsiaTheme="minorEastAsia"/>
          <w:bCs/>
          <w:kern w:val="22"/>
          <w:szCs w:val="22"/>
          <w:lang w:val="fr-FR"/>
        </w:rPr>
      </w:pPr>
      <w:r w:rsidRPr="00C63A39">
        <w:rPr>
          <w:rFonts w:eastAsiaTheme="minorEastAsia"/>
          <w:b/>
          <w:kern w:val="22"/>
          <w:szCs w:val="22"/>
          <w:lang w:val="fr-FR"/>
        </w:rPr>
        <w:lastRenderedPageBreak/>
        <w:t>Table</w:t>
      </w:r>
      <w:r>
        <w:rPr>
          <w:rFonts w:eastAsiaTheme="minorEastAsia"/>
          <w:b/>
          <w:kern w:val="22"/>
          <w:szCs w:val="22"/>
          <w:lang w:val="fr-FR"/>
        </w:rPr>
        <w:t>au 8</w:t>
      </w:r>
    </w:p>
    <w:p w14:paraId="4F7F5A83" w14:textId="77777777" w:rsidR="0008575E" w:rsidRPr="001C157D" w:rsidRDefault="0008575E" w:rsidP="0008575E">
      <w:pPr>
        <w:spacing w:after="160" w:line="259" w:lineRule="auto"/>
        <w:rPr>
          <w:b/>
          <w:color w:val="000000" w:themeColor="text1"/>
          <w:kern w:val="22"/>
          <w:szCs w:val="22"/>
          <w:lang w:val="fr-FR"/>
        </w:rPr>
      </w:pPr>
      <w:r w:rsidRPr="00C63A39">
        <w:rPr>
          <w:rFonts w:eastAsiaTheme="minorEastAsia"/>
          <w:b/>
          <w:kern w:val="22"/>
          <w:szCs w:val="22"/>
          <w:lang w:val="fr-FR"/>
        </w:rPr>
        <w:t>Contributions</w:t>
      </w:r>
      <w:r>
        <w:rPr>
          <w:rFonts w:eastAsiaTheme="minorEastAsia"/>
          <w:b/>
          <w:kern w:val="22"/>
          <w:szCs w:val="22"/>
          <w:lang w:val="fr-FR"/>
        </w:rPr>
        <w:t xml:space="preserve"> au fonds d’affectation spéciale pour le Protocole de Nagoya sur l’accès et le partage des avantages pour 2021</w:t>
      </w:r>
    </w:p>
    <w:tbl>
      <w:tblPr>
        <w:tblW w:w="9420" w:type="dxa"/>
        <w:tblLook w:val="04A0" w:firstRow="1" w:lastRow="0" w:firstColumn="1" w:lastColumn="0" w:noHBand="0" w:noVBand="1"/>
      </w:tblPr>
      <w:tblGrid>
        <w:gridCol w:w="4800"/>
        <w:gridCol w:w="1540"/>
        <w:gridCol w:w="1540"/>
        <w:gridCol w:w="1540"/>
      </w:tblGrid>
      <w:tr w:rsidR="005F7E95" w:rsidRPr="00C63A39" w14:paraId="75B15CF1" w14:textId="77777777" w:rsidTr="001F110D">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A79DF3" w14:textId="1D565C35" w:rsidR="005F7E95" w:rsidRPr="00C63A39" w:rsidRDefault="005F7E95" w:rsidP="005F7E95">
            <w:pPr>
              <w:jc w:val="center"/>
              <w:rPr>
                <w:b/>
                <w:bCs/>
                <w:kern w:val="22"/>
                <w:szCs w:val="22"/>
                <w:lang w:val="fr-FR" w:eastAsia="en-CA"/>
              </w:rPr>
            </w:pPr>
            <w:r w:rsidRPr="00C63A39">
              <w:rPr>
                <w:b/>
                <w:bCs/>
                <w:kern w:val="22"/>
                <w:szCs w:val="22"/>
                <w:lang w:val="fr-FR" w:eastAsia="en-CA"/>
              </w:rPr>
              <w:t>Partie</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06634135" w14:textId="71729F53" w:rsidR="005F7E95" w:rsidRPr="00C63A39" w:rsidRDefault="005F7E95" w:rsidP="005F7E95">
            <w:pPr>
              <w:jc w:val="center"/>
              <w:rPr>
                <w:b/>
                <w:bCs/>
                <w:color w:val="000000"/>
                <w:kern w:val="22"/>
                <w:szCs w:val="22"/>
                <w:lang w:val="fr-FR" w:eastAsia="en-CA"/>
              </w:rPr>
            </w:pPr>
            <w:r w:rsidRPr="00C63A39">
              <w:rPr>
                <w:b/>
                <w:bCs/>
                <w:color w:val="000000"/>
                <w:kern w:val="22"/>
                <w:szCs w:val="22"/>
                <w:lang w:val="fr-FR" w:eastAsia="en-CA"/>
              </w:rPr>
              <w:t xml:space="preserve">Barème des quotes-parts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28C93E23" w14:textId="0E00B44F" w:rsidR="005F7E95" w:rsidRPr="00C63A39" w:rsidRDefault="005F7E95" w:rsidP="005F7E95">
            <w:pPr>
              <w:jc w:val="center"/>
              <w:rPr>
                <w:b/>
                <w:bCs/>
                <w:color w:val="000000"/>
                <w:kern w:val="22"/>
                <w:szCs w:val="22"/>
                <w:lang w:val="fr-FR" w:eastAsia="en-CA"/>
              </w:rPr>
            </w:pPr>
            <w:r w:rsidRPr="00C63A39">
              <w:rPr>
                <w:b/>
                <w:bCs/>
                <w:color w:val="000000"/>
                <w:kern w:val="22"/>
                <w:szCs w:val="22"/>
                <w:lang w:val="fr-FR" w:eastAsia="en-CA"/>
              </w:rPr>
              <w:t>Barème assorti d’un plafond de 22% ; aucun PMA ne paie plus de 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4B617AD0" w14:textId="00304964" w:rsidR="005F7E95" w:rsidRPr="00C63A39" w:rsidRDefault="005F7E95" w:rsidP="005F7E95">
            <w:pPr>
              <w:jc w:val="center"/>
              <w:rPr>
                <w:b/>
                <w:bCs/>
                <w:color w:val="000000"/>
                <w:kern w:val="22"/>
                <w:szCs w:val="22"/>
                <w:lang w:val="fr-FR" w:eastAsia="en-CA"/>
              </w:rPr>
            </w:pPr>
            <w:r w:rsidRPr="00C63A39">
              <w:rPr>
                <w:b/>
                <w:bCs/>
                <w:color w:val="000000"/>
                <w:kern w:val="22"/>
                <w:szCs w:val="22"/>
                <w:lang w:val="fr-FR" w:eastAsia="en-CA"/>
              </w:rPr>
              <w:t>Contributions au 1er janvier 2020</w:t>
            </w:r>
          </w:p>
        </w:tc>
      </w:tr>
      <w:tr w:rsidR="0032335C" w:rsidRPr="00C63A39" w14:paraId="0B4ADA71"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30479285" w14:textId="4CE14A1C" w:rsidR="0032335C" w:rsidRPr="00C63A39" w:rsidRDefault="0032335C" w:rsidP="0032335C">
            <w:pPr>
              <w:rPr>
                <w:color w:val="000000"/>
                <w:kern w:val="22"/>
                <w:szCs w:val="22"/>
                <w:lang w:val="fr-FR" w:eastAsia="en-CA"/>
              </w:rPr>
            </w:pPr>
            <w:r w:rsidRPr="00C63A39">
              <w:rPr>
                <w:szCs w:val="22"/>
                <w:lang w:val="fr-FR"/>
              </w:rPr>
              <w:t>Afghanistan</w:t>
            </w:r>
          </w:p>
        </w:tc>
        <w:tc>
          <w:tcPr>
            <w:tcW w:w="1540" w:type="dxa"/>
            <w:tcBorders>
              <w:top w:val="nil"/>
              <w:left w:val="nil"/>
              <w:bottom w:val="single" w:sz="4" w:space="0" w:color="auto"/>
              <w:right w:val="single" w:sz="4" w:space="0" w:color="auto"/>
            </w:tcBorders>
            <w:shd w:val="clear" w:color="auto" w:fill="auto"/>
            <w:vAlign w:val="center"/>
            <w:hideMark/>
          </w:tcPr>
          <w:p w14:paraId="44CCD3A7"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14:paraId="00E0979F"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43255C18"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231</w:t>
            </w:r>
          </w:p>
        </w:tc>
      </w:tr>
      <w:tr w:rsidR="0032335C" w:rsidRPr="00C63A39" w14:paraId="49775AFE"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51AAD832" w14:textId="5E9A1A1D" w:rsidR="0032335C" w:rsidRPr="00C63A39" w:rsidRDefault="0032335C" w:rsidP="0032335C">
            <w:pPr>
              <w:rPr>
                <w:color w:val="000000"/>
                <w:kern w:val="22"/>
                <w:szCs w:val="22"/>
                <w:lang w:val="fr-FR" w:eastAsia="en-CA"/>
              </w:rPr>
            </w:pPr>
            <w:r w:rsidRPr="00C63A39">
              <w:rPr>
                <w:szCs w:val="22"/>
                <w:lang w:val="fr-FR"/>
              </w:rPr>
              <w:t xml:space="preserve">Albanie </w:t>
            </w:r>
          </w:p>
        </w:tc>
        <w:tc>
          <w:tcPr>
            <w:tcW w:w="1540" w:type="dxa"/>
            <w:tcBorders>
              <w:top w:val="nil"/>
              <w:left w:val="nil"/>
              <w:bottom w:val="single" w:sz="4" w:space="0" w:color="auto"/>
              <w:right w:val="single" w:sz="4" w:space="0" w:color="auto"/>
            </w:tcBorders>
            <w:shd w:val="clear" w:color="auto" w:fill="auto"/>
            <w:vAlign w:val="center"/>
            <w:hideMark/>
          </w:tcPr>
          <w:p w14:paraId="2234EA61"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0.008 </w:t>
            </w:r>
          </w:p>
        </w:tc>
        <w:tc>
          <w:tcPr>
            <w:tcW w:w="1540" w:type="dxa"/>
            <w:tcBorders>
              <w:top w:val="nil"/>
              <w:left w:val="nil"/>
              <w:bottom w:val="single" w:sz="4" w:space="0" w:color="auto"/>
              <w:right w:val="single" w:sz="4" w:space="0" w:color="auto"/>
            </w:tcBorders>
            <w:shd w:val="clear" w:color="auto" w:fill="auto"/>
            <w:noWrap/>
            <w:vAlign w:val="center"/>
            <w:hideMark/>
          </w:tcPr>
          <w:p w14:paraId="63105A83"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0.011 </w:t>
            </w:r>
          </w:p>
        </w:tc>
        <w:tc>
          <w:tcPr>
            <w:tcW w:w="1540" w:type="dxa"/>
            <w:tcBorders>
              <w:top w:val="nil"/>
              <w:left w:val="nil"/>
              <w:bottom w:val="single" w:sz="4" w:space="0" w:color="auto"/>
              <w:right w:val="single" w:sz="4" w:space="0" w:color="auto"/>
            </w:tcBorders>
            <w:shd w:val="clear" w:color="auto" w:fill="auto"/>
            <w:noWrap/>
            <w:vAlign w:val="center"/>
            <w:hideMark/>
          </w:tcPr>
          <w:p w14:paraId="056D342D"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264</w:t>
            </w:r>
          </w:p>
        </w:tc>
      </w:tr>
      <w:tr w:rsidR="0032335C" w:rsidRPr="00C63A39" w14:paraId="7349DE2F"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02EAA868" w14:textId="7291AA8A" w:rsidR="0032335C" w:rsidRPr="00C63A39" w:rsidRDefault="0032335C" w:rsidP="0032335C">
            <w:pPr>
              <w:rPr>
                <w:color w:val="000000"/>
                <w:kern w:val="22"/>
                <w:szCs w:val="22"/>
                <w:lang w:val="fr-FR" w:eastAsia="en-CA"/>
              </w:rPr>
            </w:pPr>
            <w:r w:rsidRPr="00C63A39">
              <w:rPr>
                <w:szCs w:val="22"/>
                <w:lang w:val="fr-FR"/>
              </w:rPr>
              <w:t xml:space="preserve">Algérie </w:t>
            </w:r>
          </w:p>
        </w:tc>
        <w:tc>
          <w:tcPr>
            <w:tcW w:w="1540" w:type="dxa"/>
            <w:tcBorders>
              <w:top w:val="nil"/>
              <w:left w:val="nil"/>
              <w:bottom w:val="single" w:sz="4" w:space="0" w:color="auto"/>
              <w:right w:val="single" w:sz="4" w:space="0" w:color="auto"/>
            </w:tcBorders>
            <w:shd w:val="clear" w:color="auto" w:fill="auto"/>
            <w:vAlign w:val="center"/>
            <w:hideMark/>
          </w:tcPr>
          <w:p w14:paraId="7F4B40FE"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0.138 </w:t>
            </w:r>
          </w:p>
        </w:tc>
        <w:tc>
          <w:tcPr>
            <w:tcW w:w="1540" w:type="dxa"/>
            <w:tcBorders>
              <w:top w:val="nil"/>
              <w:left w:val="nil"/>
              <w:bottom w:val="single" w:sz="4" w:space="0" w:color="auto"/>
              <w:right w:val="single" w:sz="4" w:space="0" w:color="auto"/>
            </w:tcBorders>
            <w:shd w:val="clear" w:color="auto" w:fill="auto"/>
            <w:noWrap/>
            <w:vAlign w:val="center"/>
            <w:hideMark/>
          </w:tcPr>
          <w:p w14:paraId="05095EB8"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0.197 </w:t>
            </w:r>
          </w:p>
        </w:tc>
        <w:tc>
          <w:tcPr>
            <w:tcW w:w="1540" w:type="dxa"/>
            <w:tcBorders>
              <w:top w:val="nil"/>
              <w:left w:val="nil"/>
              <w:bottom w:val="single" w:sz="4" w:space="0" w:color="auto"/>
              <w:right w:val="single" w:sz="4" w:space="0" w:color="auto"/>
            </w:tcBorders>
            <w:shd w:val="clear" w:color="auto" w:fill="auto"/>
            <w:noWrap/>
            <w:vAlign w:val="center"/>
            <w:hideMark/>
          </w:tcPr>
          <w:p w14:paraId="5383686C"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4,557</w:t>
            </w:r>
          </w:p>
        </w:tc>
      </w:tr>
      <w:tr w:rsidR="0032335C" w:rsidRPr="00C63A39" w14:paraId="2BA0EE51"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73DDA0F0" w14:textId="4B6C2097" w:rsidR="0032335C" w:rsidRPr="00C63A39" w:rsidRDefault="0032335C" w:rsidP="0032335C">
            <w:pPr>
              <w:rPr>
                <w:color w:val="000000"/>
                <w:kern w:val="22"/>
                <w:szCs w:val="22"/>
                <w:lang w:val="fr-FR" w:eastAsia="en-CA"/>
              </w:rPr>
            </w:pPr>
            <w:r w:rsidRPr="00C63A39">
              <w:rPr>
                <w:szCs w:val="22"/>
                <w:lang w:val="fr-FR"/>
              </w:rPr>
              <w:t>Angola</w:t>
            </w:r>
          </w:p>
        </w:tc>
        <w:tc>
          <w:tcPr>
            <w:tcW w:w="1540" w:type="dxa"/>
            <w:tcBorders>
              <w:top w:val="nil"/>
              <w:left w:val="nil"/>
              <w:bottom w:val="single" w:sz="4" w:space="0" w:color="auto"/>
              <w:right w:val="single" w:sz="4" w:space="0" w:color="auto"/>
            </w:tcBorders>
            <w:shd w:val="clear" w:color="auto" w:fill="auto"/>
            <w:vAlign w:val="center"/>
            <w:hideMark/>
          </w:tcPr>
          <w:p w14:paraId="18741EBC"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39CBDC67"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5CD3278B"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231</w:t>
            </w:r>
          </w:p>
        </w:tc>
      </w:tr>
      <w:tr w:rsidR="0032335C" w:rsidRPr="00C63A39" w14:paraId="1F2D7F6D"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57E365B4" w14:textId="29A5AE11" w:rsidR="0032335C" w:rsidRPr="00C63A39" w:rsidRDefault="0032335C" w:rsidP="0032335C">
            <w:pPr>
              <w:rPr>
                <w:color w:val="000000"/>
                <w:kern w:val="22"/>
                <w:szCs w:val="22"/>
                <w:lang w:val="fr-FR" w:eastAsia="en-CA"/>
              </w:rPr>
            </w:pPr>
            <w:r w:rsidRPr="00C63A39">
              <w:rPr>
                <w:szCs w:val="22"/>
                <w:lang w:val="fr-FR"/>
              </w:rPr>
              <w:t>Antigua-et-Barbuda</w:t>
            </w:r>
          </w:p>
        </w:tc>
        <w:tc>
          <w:tcPr>
            <w:tcW w:w="1540" w:type="dxa"/>
            <w:tcBorders>
              <w:top w:val="nil"/>
              <w:left w:val="nil"/>
              <w:bottom w:val="single" w:sz="4" w:space="0" w:color="auto"/>
              <w:right w:val="single" w:sz="4" w:space="0" w:color="auto"/>
            </w:tcBorders>
            <w:shd w:val="clear" w:color="auto" w:fill="auto"/>
            <w:vAlign w:val="center"/>
            <w:hideMark/>
          </w:tcPr>
          <w:p w14:paraId="49C180C8"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1F76630F"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1BC2E73B"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66</w:t>
            </w:r>
          </w:p>
        </w:tc>
      </w:tr>
      <w:tr w:rsidR="0032335C" w:rsidRPr="00C63A39" w14:paraId="55226AD4"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2F7E4CE5" w14:textId="0C94D6D0" w:rsidR="0032335C" w:rsidRPr="00C63A39" w:rsidRDefault="0032335C" w:rsidP="0032335C">
            <w:pPr>
              <w:rPr>
                <w:color w:val="000000"/>
                <w:kern w:val="22"/>
                <w:szCs w:val="22"/>
                <w:lang w:val="fr-FR" w:eastAsia="en-CA"/>
              </w:rPr>
            </w:pPr>
            <w:r w:rsidRPr="00C63A39">
              <w:rPr>
                <w:szCs w:val="22"/>
                <w:lang w:val="fr-FR"/>
              </w:rPr>
              <w:t>Arménie</w:t>
            </w:r>
          </w:p>
        </w:tc>
        <w:tc>
          <w:tcPr>
            <w:tcW w:w="1540" w:type="dxa"/>
            <w:tcBorders>
              <w:top w:val="nil"/>
              <w:left w:val="nil"/>
              <w:bottom w:val="single" w:sz="4" w:space="0" w:color="auto"/>
              <w:right w:val="single" w:sz="4" w:space="0" w:color="auto"/>
            </w:tcBorders>
            <w:shd w:val="clear" w:color="auto" w:fill="auto"/>
            <w:vAlign w:val="center"/>
            <w:hideMark/>
          </w:tcPr>
          <w:p w14:paraId="1B58ADEF"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14:paraId="34155AE7"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324D28C9"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231</w:t>
            </w:r>
          </w:p>
        </w:tc>
      </w:tr>
      <w:tr w:rsidR="0032335C" w:rsidRPr="00C63A39" w14:paraId="510BB9EC"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24692F9E" w14:textId="6BB5A600" w:rsidR="0032335C" w:rsidRPr="00C63A39" w:rsidRDefault="0032335C" w:rsidP="0032335C">
            <w:pPr>
              <w:rPr>
                <w:color w:val="000000"/>
                <w:kern w:val="22"/>
                <w:szCs w:val="22"/>
                <w:lang w:val="fr-FR" w:eastAsia="en-CA"/>
              </w:rPr>
            </w:pPr>
            <w:r w:rsidRPr="00C63A39">
              <w:rPr>
                <w:szCs w:val="22"/>
                <w:lang w:val="fr-FR"/>
              </w:rPr>
              <w:t>Autriche</w:t>
            </w:r>
          </w:p>
        </w:tc>
        <w:tc>
          <w:tcPr>
            <w:tcW w:w="1540" w:type="dxa"/>
            <w:tcBorders>
              <w:top w:val="nil"/>
              <w:left w:val="nil"/>
              <w:bottom w:val="single" w:sz="4" w:space="0" w:color="auto"/>
              <w:right w:val="single" w:sz="4" w:space="0" w:color="auto"/>
            </w:tcBorders>
            <w:shd w:val="clear" w:color="auto" w:fill="auto"/>
            <w:vAlign w:val="center"/>
            <w:hideMark/>
          </w:tcPr>
          <w:p w14:paraId="725489C0"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0.677 </w:t>
            </w:r>
          </w:p>
        </w:tc>
        <w:tc>
          <w:tcPr>
            <w:tcW w:w="1540" w:type="dxa"/>
            <w:tcBorders>
              <w:top w:val="nil"/>
              <w:left w:val="nil"/>
              <w:bottom w:val="single" w:sz="4" w:space="0" w:color="auto"/>
              <w:right w:val="single" w:sz="4" w:space="0" w:color="auto"/>
            </w:tcBorders>
            <w:shd w:val="clear" w:color="auto" w:fill="auto"/>
            <w:noWrap/>
            <w:vAlign w:val="center"/>
            <w:hideMark/>
          </w:tcPr>
          <w:p w14:paraId="30358449"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0.967 </w:t>
            </w:r>
          </w:p>
        </w:tc>
        <w:tc>
          <w:tcPr>
            <w:tcW w:w="1540" w:type="dxa"/>
            <w:tcBorders>
              <w:top w:val="nil"/>
              <w:left w:val="nil"/>
              <w:bottom w:val="single" w:sz="4" w:space="0" w:color="auto"/>
              <w:right w:val="single" w:sz="4" w:space="0" w:color="auto"/>
            </w:tcBorders>
            <w:shd w:val="clear" w:color="auto" w:fill="auto"/>
            <w:noWrap/>
            <w:vAlign w:val="center"/>
            <w:hideMark/>
          </w:tcPr>
          <w:p w14:paraId="1020AFFA"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22,358</w:t>
            </w:r>
          </w:p>
        </w:tc>
      </w:tr>
      <w:tr w:rsidR="0032335C" w:rsidRPr="00C63A39" w14:paraId="3FEF2172"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49E8841A" w14:textId="5EF04CC7" w:rsidR="0032335C" w:rsidRPr="00C63A39" w:rsidRDefault="0032335C" w:rsidP="0032335C">
            <w:pPr>
              <w:rPr>
                <w:color w:val="000000"/>
                <w:kern w:val="22"/>
                <w:szCs w:val="22"/>
                <w:lang w:val="fr-FR" w:eastAsia="en-CA"/>
              </w:rPr>
            </w:pPr>
            <w:r w:rsidRPr="00C63A39">
              <w:rPr>
                <w:szCs w:val="22"/>
                <w:lang w:val="fr-FR"/>
              </w:rPr>
              <w:t>Azerbaïdjan</w:t>
            </w:r>
          </w:p>
        </w:tc>
        <w:tc>
          <w:tcPr>
            <w:tcW w:w="1540" w:type="dxa"/>
            <w:tcBorders>
              <w:top w:val="nil"/>
              <w:left w:val="nil"/>
              <w:bottom w:val="single" w:sz="4" w:space="0" w:color="auto"/>
              <w:right w:val="single" w:sz="4" w:space="0" w:color="auto"/>
            </w:tcBorders>
            <w:shd w:val="clear" w:color="auto" w:fill="auto"/>
            <w:vAlign w:val="center"/>
            <w:hideMark/>
          </w:tcPr>
          <w:p w14:paraId="7820AC76"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0.049 </w:t>
            </w:r>
          </w:p>
        </w:tc>
        <w:tc>
          <w:tcPr>
            <w:tcW w:w="1540" w:type="dxa"/>
            <w:tcBorders>
              <w:top w:val="nil"/>
              <w:left w:val="nil"/>
              <w:bottom w:val="single" w:sz="4" w:space="0" w:color="auto"/>
              <w:right w:val="single" w:sz="4" w:space="0" w:color="auto"/>
            </w:tcBorders>
            <w:shd w:val="clear" w:color="auto" w:fill="auto"/>
            <w:noWrap/>
            <w:vAlign w:val="center"/>
            <w:hideMark/>
          </w:tcPr>
          <w:p w14:paraId="188534F6"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0.070 </w:t>
            </w:r>
          </w:p>
        </w:tc>
        <w:tc>
          <w:tcPr>
            <w:tcW w:w="1540" w:type="dxa"/>
            <w:tcBorders>
              <w:top w:val="nil"/>
              <w:left w:val="nil"/>
              <w:bottom w:val="single" w:sz="4" w:space="0" w:color="auto"/>
              <w:right w:val="single" w:sz="4" w:space="0" w:color="auto"/>
            </w:tcBorders>
            <w:shd w:val="clear" w:color="auto" w:fill="auto"/>
            <w:noWrap/>
            <w:vAlign w:val="center"/>
            <w:hideMark/>
          </w:tcPr>
          <w:p w14:paraId="494D9237"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1,618</w:t>
            </w:r>
          </w:p>
        </w:tc>
      </w:tr>
      <w:tr w:rsidR="0032335C" w:rsidRPr="00C63A39" w14:paraId="0F512DE4"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53E2E79B" w14:textId="793D8B5A" w:rsidR="0032335C" w:rsidRPr="00C63A39" w:rsidRDefault="0032335C" w:rsidP="0032335C">
            <w:pPr>
              <w:rPr>
                <w:color w:val="000000"/>
                <w:kern w:val="22"/>
                <w:szCs w:val="22"/>
                <w:lang w:val="fr-FR" w:eastAsia="en-CA"/>
              </w:rPr>
            </w:pPr>
            <w:r w:rsidRPr="00C63A39">
              <w:rPr>
                <w:szCs w:val="22"/>
                <w:lang w:val="fr-FR"/>
              </w:rPr>
              <w:t>Bahamas</w:t>
            </w:r>
          </w:p>
        </w:tc>
        <w:tc>
          <w:tcPr>
            <w:tcW w:w="1540" w:type="dxa"/>
            <w:tcBorders>
              <w:top w:val="nil"/>
              <w:left w:val="nil"/>
              <w:bottom w:val="single" w:sz="4" w:space="0" w:color="auto"/>
              <w:right w:val="single" w:sz="4" w:space="0" w:color="auto"/>
            </w:tcBorders>
            <w:shd w:val="clear" w:color="auto" w:fill="auto"/>
            <w:vAlign w:val="center"/>
            <w:hideMark/>
          </w:tcPr>
          <w:p w14:paraId="42DC134E"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0.018 </w:t>
            </w:r>
          </w:p>
        </w:tc>
        <w:tc>
          <w:tcPr>
            <w:tcW w:w="1540" w:type="dxa"/>
            <w:tcBorders>
              <w:top w:val="nil"/>
              <w:left w:val="nil"/>
              <w:bottom w:val="single" w:sz="4" w:space="0" w:color="auto"/>
              <w:right w:val="single" w:sz="4" w:space="0" w:color="auto"/>
            </w:tcBorders>
            <w:shd w:val="clear" w:color="auto" w:fill="auto"/>
            <w:noWrap/>
            <w:vAlign w:val="center"/>
            <w:hideMark/>
          </w:tcPr>
          <w:p w14:paraId="0FDD63B1"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0.026 </w:t>
            </w:r>
          </w:p>
        </w:tc>
        <w:tc>
          <w:tcPr>
            <w:tcW w:w="1540" w:type="dxa"/>
            <w:tcBorders>
              <w:top w:val="nil"/>
              <w:left w:val="nil"/>
              <w:bottom w:val="single" w:sz="4" w:space="0" w:color="auto"/>
              <w:right w:val="single" w:sz="4" w:space="0" w:color="auto"/>
            </w:tcBorders>
            <w:shd w:val="clear" w:color="auto" w:fill="auto"/>
            <w:noWrap/>
            <w:vAlign w:val="center"/>
            <w:hideMark/>
          </w:tcPr>
          <w:p w14:paraId="3B46344C"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594</w:t>
            </w:r>
          </w:p>
        </w:tc>
      </w:tr>
      <w:tr w:rsidR="0032335C" w:rsidRPr="00C63A39" w14:paraId="018782AF"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385A34FB" w14:textId="3766E0E4" w:rsidR="0032335C" w:rsidRPr="00C63A39" w:rsidRDefault="0032335C" w:rsidP="0032335C">
            <w:pPr>
              <w:rPr>
                <w:color w:val="000000"/>
                <w:kern w:val="22"/>
                <w:szCs w:val="22"/>
                <w:lang w:val="fr-FR" w:eastAsia="en-CA"/>
              </w:rPr>
            </w:pPr>
            <w:r w:rsidRPr="00C63A39">
              <w:rPr>
                <w:szCs w:val="22"/>
                <w:lang w:val="fr-FR"/>
              </w:rPr>
              <w:t>Bahreïn</w:t>
            </w:r>
          </w:p>
        </w:tc>
        <w:tc>
          <w:tcPr>
            <w:tcW w:w="1540" w:type="dxa"/>
            <w:tcBorders>
              <w:top w:val="nil"/>
              <w:left w:val="nil"/>
              <w:bottom w:val="single" w:sz="4" w:space="0" w:color="auto"/>
              <w:right w:val="single" w:sz="4" w:space="0" w:color="auto"/>
            </w:tcBorders>
            <w:shd w:val="clear" w:color="auto" w:fill="auto"/>
            <w:vAlign w:val="center"/>
            <w:hideMark/>
          </w:tcPr>
          <w:p w14:paraId="77AF6104"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0.050 </w:t>
            </w:r>
          </w:p>
        </w:tc>
        <w:tc>
          <w:tcPr>
            <w:tcW w:w="1540" w:type="dxa"/>
            <w:tcBorders>
              <w:top w:val="nil"/>
              <w:left w:val="nil"/>
              <w:bottom w:val="single" w:sz="4" w:space="0" w:color="auto"/>
              <w:right w:val="single" w:sz="4" w:space="0" w:color="auto"/>
            </w:tcBorders>
            <w:shd w:val="clear" w:color="auto" w:fill="auto"/>
            <w:noWrap/>
            <w:vAlign w:val="center"/>
            <w:hideMark/>
          </w:tcPr>
          <w:p w14:paraId="1E29BC82"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0.071 </w:t>
            </w:r>
          </w:p>
        </w:tc>
        <w:tc>
          <w:tcPr>
            <w:tcW w:w="1540" w:type="dxa"/>
            <w:tcBorders>
              <w:top w:val="nil"/>
              <w:left w:val="nil"/>
              <w:bottom w:val="single" w:sz="4" w:space="0" w:color="auto"/>
              <w:right w:val="single" w:sz="4" w:space="0" w:color="auto"/>
            </w:tcBorders>
            <w:shd w:val="clear" w:color="auto" w:fill="auto"/>
            <w:noWrap/>
            <w:vAlign w:val="center"/>
            <w:hideMark/>
          </w:tcPr>
          <w:p w14:paraId="423189FD"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1,651</w:t>
            </w:r>
          </w:p>
        </w:tc>
      </w:tr>
      <w:tr w:rsidR="0032335C" w:rsidRPr="00C63A39" w14:paraId="027CACAF"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46AD29E6" w14:textId="0A09D983" w:rsidR="0032335C" w:rsidRPr="00C63A39" w:rsidRDefault="0032335C" w:rsidP="0032335C">
            <w:pPr>
              <w:rPr>
                <w:color w:val="000000"/>
                <w:kern w:val="22"/>
                <w:szCs w:val="22"/>
                <w:lang w:val="fr-FR" w:eastAsia="en-CA"/>
              </w:rPr>
            </w:pPr>
            <w:r w:rsidRPr="00C63A39">
              <w:rPr>
                <w:szCs w:val="22"/>
                <w:lang w:val="fr-FR"/>
              </w:rPr>
              <w:t>Bangladesh</w:t>
            </w:r>
          </w:p>
        </w:tc>
        <w:tc>
          <w:tcPr>
            <w:tcW w:w="1540" w:type="dxa"/>
            <w:tcBorders>
              <w:top w:val="nil"/>
              <w:left w:val="nil"/>
              <w:bottom w:val="single" w:sz="4" w:space="0" w:color="auto"/>
              <w:right w:val="single" w:sz="4" w:space="0" w:color="auto"/>
            </w:tcBorders>
            <w:shd w:val="clear" w:color="auto" w:fill="auto"/>
            <w:vAlign w:val="center"/>
            <w:hideMark/>
          </w:tcPr>
          <w:p w14:paraId="7C2D2A7A"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6BC39263"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48D3DAC6"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231</w:t>
            </w:r>
          </w:p>
        </w:tc>
      </w:tr>
      <w:tr w:rsidR="0032335C" w:rsidRPr="00C63A39" w14:paraId="04369F6A"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03F96562" w14:textId="4F1D99B4" w:rsidR="0032335C" w:rsidRPr="00C63A39" w:rsidRDefault="0032335C" w:rsidP="0032335C">
            <w:pPr>
              <w:rPr>
                <w:color w:val="000000"/>
                <w:kern w:val="22"/>
                <w:szCs w:val="22"/>
                <w:lang w:val="fr-FR" w:eastAsia="en-CA"/>
              </w:rPr>
            </w:pPr>
            <w:r w:rsidRPr="00C63A39">
              <w:rPr>
                <w:szCs w:val="22"/>
                <w:lang w:val="fr-FR"/>
              </w:rPr>
              <w:t>Barbade</w:t>
            </w:r>
          </w:p>
        </w:tc>
        <w:tc>
          <w:tcPr>
            <w:tcW w:w="1540" w:type="dxa"/>
            <w:tcBorders>
              <w:top w:val="nil"/>
              <w:left w:val="nil"/>
              <w:bottom w:val="single" w:sz="4" w:space="0" w:color="auto"/>
              <w:right w:val="single" w:sz="4" w:space="0" w:color="auto"/>
            </w:tcBorders>
            <w:shd w:val="clear" w:color="auto" w:fill="auto"/>
            <w:vAlign w:val="center"/>
            <w:hideMark/>
          </w:tcPr>
          <w:p w14:paraId="11B30FBD"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14:paraId="1D6F736F"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57AC333D"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231</w:t>
            </w:r>
          </w:p>
        </w:tc>
      </w:tr>
      <w:tr w:rsidR="0032335C" w:rsidRPr="00C63A39" w14:paraId="61058A95"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3E8E650C" w14:textId="02C37D95" w:rsidR="0032335C" w:rsidRPr="00C63A39" w:rsidRDefault="0032335C" w:rsidP="0032335C">
            <w:pPr>
              <w:rPr>
                <w:color w:val="000000"/>
                <w:kern w:val="22"/>
                <w:szCs w:val="22"/>
                <w:lang w:val="fr-FR" w:eastAsia="en-CA"/>
              </w:rPr>
            </w:pPr>
            <w:r w:rsidRPr="00C63A39">
              <w:rPr>
                <w:szCs w:val="22"/>
                <w:lang w:val="fr-FR"/>
              </w:rPr>
              <w:t>Biélorussie</w:t>
            </w:r>
          </w:p>
        </w:tc>
        <w:tc>
          <w:tcPr>
            <w:tcW w:w="1540" w:type="dxa"/>
            <w:tcBorders>
              <w:top w:val="nil"/>
              <w:left w:val="nil"/>
              <w:bottom w:val="single" w:sz="4" w:space="0" w:color="auto"/>
              <w:right w:val="single" w:sz="4" w:space="0" w:color="auto"/>
            </w:tcBorders>
            <w:shd w:val="clear" w:color="auto" w:fill="auto"/>
            <w:vAlign w:val="center"/>
            <w:hideMark/>
          </w:tcPr>
          <w:p w14:paraId="77C75865"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0.049 </w:t>
            </w:r>
          </w:p>
        </w:tc>
        <w:tc>
          <w:tcPr>
            <w:tcW w:w="1540" w:type="dxa"/>
            <w:tcBorders>
              <w:top w:val="nil"/>
              <w:left w:val="nil"/>
              <w:bottom w:val="single" w:sz="4" w:space="0" w:color="auto"/>
              <w:right w:val="single" w:sz="4" w:space="0" w:color="auto"/>
            </w:tcBorders>
            <w:shd w:val="clear" w:color="auto" w:fill="auto"/>
            <w:noWrap/>
            <w:vAlign w:val="center"/>
            <w:hideMark/>
          </w:tcPr>
          <w:p w14:paraId="35970F22"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0.070 </w:t>
            </w:r>
          </w:p>
        </w:tc>
        <w:tc>
          <w:tcPr>
            <w:tcW w:w="1540" w:type="dxa"/>
            <w:tcBorders>
              <w:top w:val="nil"/>
              <w:left w:val="nil"/>
              <w:bottom w:val="single" w:sz="4" w:space="0" w:color="auto"/>
              <w:right w:val="single" w:sz="4" w:space="0" w:color="auto"/>
            </w:tcBorders>
            <w:shd w:val="clear" w:color="auto" w:fill="auto"/>
            <w:noWrap/>
            <w:vAlign w:val="center"/>
            <w:hideMark/>
          </w:tcPr>
          <w:p w14:paraId="7F2C4950"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1,618</w:t>
            </w:r>
          </w:p>
        </w:tc>
      </w:tr>
      <w:tr w:rsidR="0032335C" w:rsidRPr="00C63A39" w14:paraId="7AF02F4F"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2CA24E2C" w14:textId="6A57AB5F" w:rsidR="0032335C" w:rsidRPr="00C63A39" w:rsidRDefault="0032335C" w:rsidP="0032335C">
            <w:pPr>
              <w:rPr>
                <w:color w:val="000000"/>
                <w:kern w:val="22"/>
                <w:szCs w:val="22"/>
                <w:lang w:val="fr-FR" w:eastAsia="en-CA"/>
              </w:rPr>
            </w:pPr>
            <w:r w:rsidRPr="00C63A39">
              <w:rPr>
                <w:szCs w:val="22"/>
                <w:lang w:val="fr-FR"/>
              </w:rPr>
              <w:t>Belgique</w:t>
            </w:r>
          </w:p>
        </w:tc>
        <w:tc>
          <w:tcPr>
            <w:tcW w:w="1540" w:type="dxa"/>
            <w:tcBorders>
              <w:top w:val="nil"/>
              <w:left w:val="nil"/>
              <w:bottom w:val="single" w:sz="4" w:space="0" w:color="auto"/>
              <w:right w:val="single" w:sz="4" w:space="0" w:color="auto"/>
            </w:tcBorders>
            <w:shd w:val="clear" w:color="auto" w:fill="auto"/>
            <w:vAlign w:val="center"/>
            <w:hideMark/>
          </w:tcPr>
          <w:p w14:paraId="699DB1DE"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0.821 </w:t>
            </w:r>
          </w:p>
        </w:tc>
        <w:tc>
          <w:tcPr>
            <w:tcW w:w="1540" w:type="dxa"/>
            <w:tcBorders>
              <w:top w:val="nil"/>
              <w:left w:val="nil"/>
              <w:bottom w:val="single" w:sz="4" w:space="0" w:color="auto"/>
              <w:right w:val="single" w:sz="4" w:space="0" w:color="auto"/>
            </w:tcBorders>
            <w:shd w:val="clear" w:color="auto" w:fill="auto"/>
            <w:noWrap/>
            <w:vAlign w:val="center"/>
            <w:hideMark/>
          </w:tcPr>
          <w:p w14:paraId="61BD8137"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1.173 </w:t>
            </w:r>
          </w:p>
        </w:tc>
        <w:tc>
          <w:tcPr>
            <w:tcW w:w="1540" w:type="dxa"/>
            <w:tcBorders>
              <w:top w:val="nil"/>
              <w:left w:val="nil"/>
              <w:bottom w:val="single" w:sz="4" w:space="0" w:color="auto"/>
              <w:right w:val="single" w:sz="4" w:space="0" w:color="auto"/>
            </w:tcBorders>
            <w:shd w:val="clear" w:color="auto" w:fill="auto"/>
            <w:noWrap/>
            <w:vAlign w:val="center"/>
            <w:hideMark/>
          </w:tcPr>
          <w:p w14:paraId="3E130694"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27,113</w:t>
            </w:r>
          </w:p>
        </w:tc>
      </w:tr>
      <w:tr w:rsidR="0032335C" w:rsidRPr="00C63A39" w14:paraId="12C67FA9"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6B53D7D7" w14:textId="486BB6CC" w:rsidR="0032335C" w:rsidRPr="00C63A39" w:rsidRDefault="0032335C" w:rsidP="0032335C">
            <w:pPr>
              <w:rPr>
                <w:color w:val="000000"/>
                <w:kern w:val="22"/>
                <w:szCs w:val="22"/>
                <w:lang w:val="fr-FR" w:eastAsia="en-CA"/>
              </w:rPr>
            </w:pPr>
            <w:r w:rsidRPr="00C63A39">
              <w:rPr>
                <w:szCs w:val="22"/>
                <w:lang w:val="fr-FR"/>
              </w:rPr>
              <w:t>Belize</w:t>
            </w:r>
          </w:p>
        </w:tc>
        <w:tc>
          <w:tcPr>
            <w:tcW w:w="1540" w:type="dxa"/>
            <w:tcBorders>
              <w:top w:val="nil"/>
              <w:left w:val="nil"/>
              <w:bottom w:val="single" w:sz="4" w:space="0" w:color="auto"/>
              <w:right w:val="single" w:sz="4" w:space="0" w:color="auto"/>
            </w:tcBorders>
            <w:shd w:val="clear" w:color="auto" w:fill="auto"/>
            <w:vAlign w:val="center"/>
            <w:hideMark/>
          </w:tcPr>
          <w:p w14:paraId="0A8C53E9"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447BCE69"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5CAA77E5"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33</w:t>
            </w:r>
          </w:p>
        </w:tc>
      </w:tr>
      <w:tr w:rsidR="0032335C" w:rsidRPr="00C63A39" w14:paraId="0C03AC6B"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641C2659" w14:textId="155C1CE3" w:rsidR="0032335C" w:rsidRPr="00C63A39" w:rsidRDefault="0032335C" w:rsidP="0032335C">
            <w:pPr>
              <w:rPr>
                <w:color w:val="000000"/>
                <w:kern w:val="22"/>
                <w:szCs w:val="22"/>
                <w:lang w:val="fr-FR" w:eastAsia="en-CA"/>
              </w:rPr>
            </w:pPr>
            <w:r w:rsidRPr="00C63A39">
              <w:rPr>
                <w:szCs w:val="22"/>
                <w:lang w:val="fr-FR"/>
              </w:rPr>
              <w:t>Bénin</w:t>
            </w:r>
          </w:p>
        </w:tc>
        <w:tc>
          <w:tcPr>
            <w:tcW w:w="1540" w:type="dxa"/>
            <w:tcBorders>
              <w:top w:val="nil"/>
              <w:left w:val="nil"/>
              <w:bottom w:val="single" w:sz="4" w:space="0" w:color="auto"/>
              <w:right w:val="single" w:sz="4" w:space="0" w:color="auto"/>
            </w:tcBorders>
            <w:shd w:val="clear" w:color="auto" w:fill="auto"/>
            <w:vAlign w:val="center"/>
            <w:hideMark/>
          </w:tcPr>
          <w:p w14:paraId="26F807C4"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144E9F1B"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273A8B6D"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99</w:t>
            </w:r>
          </w:p>
        </w:tc>
      </w:tr>
      <w:tr w:rsidR="0032335C" w:rsidRPr="00C63A39" w14:paraId="0E35A439"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03FA33DB" w14:textId="156B198D" w:rsidR="0032335C" w:rsidRPr="00C63A39" w:rsidRDefault="0032335C" w:rsidP="0032335C">
            <w:pPr>
              <w:rPr>
                <w:color w:val="000000"/>
                <w:kern w:val="22"/>
                <w:szCs w:val="22"/>
                <w:lang w:val="fr-FR" w:eastAsia="en-CA"/>
              </w:rPr>
            </w:pPr>
            <w:r w:rsidRPr="00C63A39">
              <w:rPr>
                <w:szCs w:val="22"/>
                <w:lang w:val="fr-FR"/>
              </w:rPr>
              <w:t>Bhoutan</w:t>
            </w:r>
          </w:p>
        </w:tc>
        <w:tc>
          <w:tcPr>
            <w:tcW w:w="1540" w:type="dxa"/>
            <w:tcBorders>
              <w:top w:val="nil"/>
              <w:left w:val="nil"/>
              <w:bottom w:val="single" w:sz="4" w:space="0" w:color="auto"/>
              <w:right w:val="single" w:sz="4" w:space="0" w:color="auto"/>
            </w:tcBorders>
            <w:shd w:val="clear" w:color="auto" w:fill="auto"/>
            <w:vAlign w:val="center"/>
            <w:hideMark/>
          </w:tcPr>
          <w:p w14:paraId="30A407C4"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1FCAAE51"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3D8E112C"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33</w:t>
            </w:r>
          </w:p>
        </w:tc>
      </w:tr>
      <w:tr w:rsidR="0032335C" w:rsidRPr="00C63A39" w14:paraId="48CFC39C"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3AE9CD03" w14:textId="081BAB2F" w:rsidR="0032335C" w:rsidRPr="00C63A39" w:rsidRDefault="0032335C" w:rsidP="0032335C">
            <w:pPr>
              <w:rPr>
                <w:color w:val="000000"/>
                <w:kern w:val="22"/>
                <w:szCs w:val="22"/>
                <w:lang w:val="fr-FR" w:eastAsia="en-CA"/>
              </w:rPr>
            </w:pPr>
            <w:r w:rsidRPr="00C63A39">
              <w:rPr>
                <w:szCs w:val="22"/>
                <w:lang w:val="fr-FR"/>
              </w:rPr>
              <w:t>Bolivie (État plurinational de)</w:t>
            </w:r>
          </w:p>
        </w:tc>
        <w:tc>
          <w:tcPr>
            <w:tcW w:w="1540" w:type="dxa"/>
            <w:tcBorders>
              <w:top w:val="nil"/>
              <w:left w:val="nil"/>
              <w:bottom w:val="single" w:sz="4" w:space="0" w:color="auto"/>
              <w:right w:val="single" w:sz="4" w:space="0" w:color="auto"/>
            </w:tcBorders>
            <w:shd w:val="clear" w:color="auto" w:fill="auto"/>
            <w:vAlign w:val="center"/>
            <w:hideMark/>
          </w:tcPr>
          <w:p w14:paraId="366ACFAC"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0.016 </w:t>
            </w:r>
          </w:p>
        </w:tc>
        <w:tc>
          <w:tcPr>
            <w:tcW w:w="1540" w:type="dxa"/>
            <w:tcBorders>
              <w:top w:val="nil"/>
              <w:left w:val="nil"/>
              <w:bottom w:val="single" w:sz="4" w:space="0" w:color="auto"/>
              <w:right w:val="single" w:sz="4" w:space="0" w:color="auto"/>
            </w:tcBorders>
            <w:shd w:val="clear" w:color="auto" w:fill="auto"/>
            <w:noWrap/>
            <w:vAlign w:val="center"/>
            <w:hideMark/>
          </w:tcPr>
          <w:p w14:paraId="3AADBC52"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0.023 </w:t>
            </w:r>
          </w:p>
        </w:tc>
        <w:tc>
          <w:tcPr>
            <w:tcW w:w="1540" w:type="dxa"/>
            <w:tcBorders>
              <w:top w:val="nil"/>
              <w:left w:val="nil"/>
              <w:bottom w:val="single" w:sz="4" w:space="0" w:color="auto"/>
              <w:right w:val="single" w:sz="4" w:space="0" w:color="auto"/>
            </w:tcBorders>
            <w:shd w:val="clear" w:color="auto" w:fill="auto"/>
            <w:noWrap/>
            <w:vAlign w:val="center"/>
            <w:hideMark/>
          </w:tcPr>
          <w:p w14:paraId="361E7087"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528</w:t>
            </w:r>
          </w:p>
        </w:tc>
      </w:tr>
      <w:tr w:rsidR="0032335C" w:rsidRPr="00C63A39" w14:paraId="3F1CC0D2"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659005F8" w14:textId="3D6393F3" w:rsidR="0032335C" w:rsidRPr="00C63A39" w:rsidRDefault="0032335C" w:rsidP="0032335C">
            <w:pPr>
              <w:rPr>
                <w:color w:val="000000"/>
                <w:kern w:val="22"/>
                <w:szCs w:val="22"/>
                <w:lang w:val="fr-FR" w:eastAsia="en-CA"/>
              </w:rPr>
            </w:pPr>
            <w:r w:rsidRPr="00C63A39">
              <w:rPr>
                <w:szCs w:val="22"/>
                <w:lang w:val="fr-FR"/>
              </w:rPr>
              <w:t>Bosnie-Herzégovine</w:t>
            </w:r>
          </w:p>
        </w:tc>
        <w:tc>
          <w:tcPr>
            <w:tcW w:w="1540" w:type="dxa"/>
            <w:tcBorders>
              <w:top w:val="nil"/>
              <w:left w:val="nil"/>
              <w:bottom w:val="single" w:sz="4" w:space="0" w:color="auto"/>
              <w:right w:val="single" w:sz="4" w:space="0" w:color="auto"/>
            </w:tcBorders>
            <w:shd w:val="clear" w:color="auto" w:fill="auto"/>
            <w:vAlign w:val="center"/>
            <w:hideMark/>
          </w:tcPr>
          <w:p w14:paraId="6141F42D"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0.012 </w:t>
            </w:r>
          </w:p>
        </w:tc>
        <w:tc>
          <w:tcPr>
            <w:tcW w:w="1540" w:type="dxa"/>
            <w:tcBorders>
              <w:top w:val="nil"/>
              <w:left w:val="nil"/>
              <w:bottom w:val="single" w:sz="4" w:space="0" w:color="auto"/>
              <w:right w:val="single" w:sz="4" w:space="0" w:color="auto"/>
            </w:tcBorders>
            <w:shd w:val="clear" w:color="auto" w:fill="auto"/>
            <w:noWrap/>
            <w:vAlign w:val="center"/>
            <w:hideMark/>
          </w:tcPr>
          <w:p w14:paraId="3A415091"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0.017 </w:t>
            </w:r>
          </w:p>
        </w:tc>
        <w:tc>
          <w:tcPr>
            <w:tcW w:w="1540" w:type="dxa"/>
            <w:tcBorders>
              <w:top w:val="nil"/>
              <w:left w:val="nil"/>
              <w:bottom w:val="single" w:sz="4" w:space="0" w:color="auto"/>
              <w:right w:val="single" w:sz="4" w:space="0" w:color="auto"/>
            </w:tcBorders>
            <w:shd w:val="clear" w:color="auto" w:fill="auto"/>
            <w:noWrap/>
            <w:vAlign w:val="center"/>
            <w:hideMark/>
          </w:tcPr>
          <w:p w14:paraId="76BCABEE"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396</w:t>
            </w:r>
          </w:p>
        </w:tc>
      </w:tr>
      <w:tr w:rsidR="0032335C" w:rsidRPr="00C63A39" w14:paraId="52257FCC"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4D1E1FC4" w14:textId="2F9671A4" w:rsidR="0032335C" w:rsidRPr="00C63A39" w:rsidRDefault="0032335C" w:rsidP="0032335C">
            <w:pPr>
              <w:rPr>
                <w:color w:val="000000"/>
                <w:kern w:val="22"/>
                <w:szCs w:val="22"/>
                <w:lang w:val="fr-FR" w:eastAsia="en-CA"/>
              </w:rPr>
            </w:pPr>
            <w:r w:rsidRPr="00C63A39">
              <w:rPr>
                <w:szCs w:val="22"/>
                <w:lang w:val="fr-FR"/>
              </w:rPr>
              <w:t>Botswana</w:t>
            </w:r>
          </w:p>
        </w:tc>
        <w:tc>
          <w:tcPr>
            <w:tcW w:w="1540" w:type="dxa"/>
            <w:tcBorders>
              <w:top w:val="nil"/>
              <w:left w:val="nil"/>
              <w:bottom w:val="single" w:sz="4" w:space="0" w:color="auto"/>
              <w:right w:val="single" w:sz="4" w:space="0" w:color="auto"/>
            </w:tcBorders>
            <w:shd w:val="clear" w:color="auto" w:fill="auto"/>
            <w:vAlign w:val="center"/>
            <w:hideMark/>
          </w:tcPr>
          <w:p w14:paraId="17B57620"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0.014 </w:t>
            </w:r>
          </w:p>
        </w:tc>
        <w:tc>
          <w:tcPr>
            <w:tcW w:w="1540" w:type="dxa"/>
            <w:tcBorders>
              <w:top w:val="nil"/>
              <w:left w:val="nil"/>
              <w:bottom w:val="single" w:sz="4" w:space="0" w:color="auto"/>
              <w:right w:val="single" w:sz="4" w:space="0" w:color="auto"/>
            </w:tcBorders>
            <w:shd w:val="clear" w:color="auto" w:fill="auto"/>
            <w:noWrap/>
            <w:vAlign w:val="center"/>
            <w:hideMark/>
          </w:tcPr>
          <w:p w14:paraId="27816DE3"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0.020 </w:t>
            </w:r>
          </w:p>
        </w:tc>
        <w:tc>
          <w:tcPr>
            <w:tcW w:w="1540" w:type="dxa"/>
            <w:tcBorders>
              <w:top w:val="nil"/>
              <w:left w:val="nil"/>
              <w:bottom w:val="single" w:sz="4" w:space="0" w:color="auto"/>
              <w:right w:val="single" w:sz="4" w:space="0" w:color="auto"/>
            </w:tcBorders>
            <w:shd w:val="clear" w:color="auto" w:fill="auto"/>
            <w:noWrap/>
            <w:vAlign w:val="center"/>
            <w:hideMark/>
          </w:tcPr>
          <w:p w14:paraId="2B616326"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462</w:t>
            </w:r>
          </w:p>
        </w:tc>
      </w:tr>
      <w:tr w:rsidR="0032335C" w:rsidRPr="00C63A39" w14:paraId="67FF2550"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03A48A88" w14:textId="41BFFFF1" w:rsidR="0032335C" w:rsidRPr="00C63A39" w:rsidRDefault="0032335C" w:rsidP="0032335C">
            <w:pPr>
              <w:rPr>
                <w:color w:val="000000"/>
                <w:kern w:val="22"/>
                <w:szCs w:val="22"/>
                <w:lang w:val="fr-FR" w:eastAsia="en-CA"/>
              </w:rPr>
            </w:pPr>
            <w:r w:rsidRPr="00C63A39">
              <w:rPr>
                <w:szCs w:val="22"/>
                <w:lang w:val="fr-FR"/>
              </w:rPr>
              <w:t>Brésil</w:t>
            </w:r>
          </w:p>
        </w:tc>
        <w:tc>
          <w:tcPr>
            <w:tcW w:w="1540" w:type="dxa"/>
            <w:tcBorders>
              <w:top w:val="nil"/>
              <w:left w:val="nil"/>
              <w:bottom w:val="single" w:sz="4" w:space="0" w:color="auto"/>
              <w:right w:val="single" w:sz="4" w:space="0" w:color="auto"/>
            </w:tcBorders>
            <w:shd w:val="clear" w:color="auto" w:fill="auto"/>
            <w:vAlign w:val="center"/>
            <w:hideMark/>
          </w:tcPr>
          <w:p w14:paraId="5A633994"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2.948 </w:t>
            </w:r>
          </w:p>
        </w:tc>
        <w:tc>
          <w:tcPr>
            <w:tcW w:w="1540" w:type="dxa"/>
            <w:tcBorders>
              <w:top w:val="nil"/>
              <w:left w:val="nil"/>
              <w:bottom w:val="single" w:sz="4" w:space="0" w:color="auto"/>
              <w:right w:val="single" w:sz="4" w:space="0" w:color="auto"/>
            </w:tcBorders>
            <w:shd w:val="clear" w:color="auto" w:fill="auto"/>
            <w:noWrap/>
            <w:vAlign w:val="center"/>
            <w:hideMark/>
          </w:tcPr>
          <w:p w14:paraId="2BA4C91F"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4.212 </w:t>
            </w:r>
          </w:p>
        </w:tc>
        <w:tc>
          <w:tcPr>
            <w:tcW w:w="1540" w:type="dxa"/>
            <w:tcBorders>
              <w:top w:val="nil"/>
              <w:left w:val="nil"/>
              <w:bottom w:val="single" w:sz="4" w:space="0" w:color="auto"/>
              <w:right w:val="single" w:sz="4" w:space="0" w:color="auto"/>
            </w:tcBorders>
            <w:shd w:val="clear" w:color="auto" w:fill="auto"/>
            <w:noWrap/>
            <w:vAlign w:val="center"/>
            <w:hideMark/>
          </w:tcPr>
          <w:p w14:paraId="6BC46261"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97,356</w:t>
            </w:r>
          </w:p>
        </w:tc>
      </w:tr>
      <w:tr w:rsidR="0032335C" w:rsidRPr="00C63A39" w14:paraId="5C614947"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4247547D" w14:textId="61273946" w:rsidR="0032335C" w:rsidRPr="00C63A39" w:rsidRDefault="0032335C" w:rsidP="0032335C">
            <w:pPr>
              <w:rPr>
                <w:color w:val="000000"/>
                <w:kern w:val="22"/>
                <w:szCs w:val="22"/>
                <w:lang w:val="fr-FR" w:eastAsia="en-CA"/>
              </w:rPr>
            </w:pPr>
            <w:r w:rsidRPr="00C63A39">
              <w:rPr>
                <w:szCs w:val="22"/>
                <w:lang w:val="fr-FR"/>
              </w:rPr>
              <w:t>Bulgarie</w:t>
            </w:r>
          </w:p>
        </w:tc>
        <w:tc>
          <w:tcPr>
            <w:tcW w:w="1540" w:type="dxa"/>
            <w:tcBorders>
              <w:top w:val="nil"/>
              <w:left w:val="nil"/>
              <w:bottom w:val="single" w:sz="4" w:space="0" w:color="auto"/>
              <w:right w:val="single" w:sz="4" w:space="0" w:color="auto"/>
            </w:tcBorders>
            <w:shd w:val="clear" w:color="auto" w:fill="auto"/>
            <w:vAlign w:val="center"/>
            <w:hideMark/>
          </w:tcPr>
          <w:p w14:paraId="458124DD"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0.046 </w:t>
            </w:r>
          </w:p>
        </w:tc>
        <w:tc>
          <w:tcPr>
            <w:tcW w:w="1540" w:type="dxa"/>
            <w:tcBorders>
              <w:top w:val="nil"/>
              <w:left w:val="nil"/>
              <w:bottom w:val="single" w:sz="4" w:space="0" w:color="auto"/>
              <w:right w:val="single" w:sz="4" w:space="0" w:color="auto"/>
            </w:tcBorders>
            <w:shd w:val="clear" w:color="auto" w:fill="auto"/>
            <w:noWrap/>
            <w:vAlign w:val="center"/>
            <w:hideMark/>
          </w:tcPr>
          <w:p w14:paraId="067009E1"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0.066 </w:t>
            </w:r>
          </w:p>
        </w:tc>
        <w:tc>
          <w:tcPr>
            <w:tcW w:w="1540" w:type="dxa"/>
            <w:tcBorders>
              <w:top w:val="nil"/>
              <w:left w:val="nil"/>
              <w:bottom w:val="single" w:sz="4" w:space="0" w:color="auto"/>
              <w:right w:val="single" w:sz="4" w:space="0" w:color="auto"/>
            </w:tcBorders>
            <w:shd w:val="clear" w:color="auto" w:fill="auto"/>
            <w:noWrap/>
            <w:vAlign w:val="center"/>
            <w:hideMark/>
          </w:tcPr>
          <w:p w14:paraId="1337BD2E"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1,519</w:t>
            </w:r>
          </w:p>
        </w:tc>
      </w:tr>
      <w:tr w:rsidR="0032335C" w:rsidRPr="00C63A39" w14:paraId="5908C869"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1B451225" w14:textId="2FB269D7" w:rsidR="0032335C" w:rsidRPr="00C63A39" w:rsidRDefault="0032335C" w:rsidP="0032335C">
            <w:pPr>
              <w:rPr>
                <w:color w:val="000000"/>
                <w:kern w:val="22"/>
                <w:szCs w:val="22"/>
                <w:lang w:val="fr-FR" w:eastAsia="en-CA"/>
              </w:rPr>
            </w:pPr>
            <w:r w:rsidRPr="00C63A39">
              <w:rPr>
                <w:szCs w:val="22"/>
                <w:lang w:val="fr-FR"/>
              </w:rPr>
              <w:t>Burkina Faso</w:t>
            </w:r>
          </w:p>
        </w:tc>
        <w:tc>
          <w:tcPr>
            <w:tcW w:w="1540" w:type="dxa"/>
            <w:tcBorders>
              <w:top w:val="nil"/>
              <w:left w:val="nil"/>
              <w:bottom w:val="single" w:sz="4" w:space="0" w:color="auto"/>
              <w:right w:val="single" w:sz="4" w:space="0" w:color="auto"/>
            </w:tcBorders>
            <w:shd w:val="clear" w:color="auto" w:fill="auto"/>
            <w:vAlign w:val="center"/>
            <w:hideMark/>
          </w:tcPr>
          <w:p w14:paraId="43D5D7C1"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7DC2D76F"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36CFB2BD"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99</w:t>
            </w:r>
          </w:p>
        </w:tc>
      </w:tr>
      <w:tr w:rsidR="0032335C" w:rsidRPr="00C63A39" w14:paraId="67F76717"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40FD567C" w14:textId="2AA48B20" w:rsidR="0032335C" w:rsidRPr="00C63A39" w:rsidRDefault="0032335C" w:rsidP="0032335C">
            <w:pPr>
              <w:rPr>
                <w:color w:val="000000"/>
                <w:kern w:val="22"/>
                <w:szCs w:val="22"/>
                <w:lang w:val="fr-FR" w:eastAsia="en-CA"/>
              </w:rPr>
            </w:pPr>
            <w:r w:rsidRPr="00C63A39">
              <w:rPr>
                <w:szCs w:val="22"/>
                <w:lang w:val="fr-FR"/>
              </w:rPr>
              <w:t>Burundi</w:t>
            </w:r>
          </w:p>
        </w:tc>
        <w:tc>
          <w:tcPr>
            <w:tcW w:w="1540" w:type="dxa"/>
            <w:tcBorders>
              <w:top w:val="nil"/>
              <w:left w:val="nil"/>
              <w:bottom w:val="single" w:sz="4" w:space="0" w:color="auto"/>
              <w:right w:val="single" w:sz="4" w:space="0" w:color="auto"/>
            </w:tcBorders>
            <w:shd w:val="clear" w:color="auto" w:fill="auto"/>
            <w:vAlign w:val="center"/>
            <w:hideMark/>
          </w:tcPr>
          <w:p w14:paraId="51EBB3EE"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5A6285FB"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10BAC3D4"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33</w:t>
            </w:r>
          </w:p>
        </w:tc>
      </w:tr>
      <w:tr w:rsidR="0032335C" w:rsidRPr="00C63A39" w14:paraId="57297F2F"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193ADDB6" w14:textId="372F596D" w:rsidR="0032335C" w:rsidRPr="00C63A39" w:rsidRDefault="0032335C" w:rsidP="0032335C">
            <w:pPr>
              <w:rPr>
                <w:color w:val="000000"/>
                <w:kern w:val="22"/>
                <w:szCs w:val="22"/>
                <w:lang w:val="fr-FR" w:eastAsia="en-CA"/>
              </w:rPr>
            </w:pPr>
            <w:r w:rsidRPr="00C63A39">
              <w:rPr>
                <w:szCs w:val="22"/>
                <w:lang w:val="fr-FR"/>
              </w:rPr>
              <w:t>Cap-Vert</w:t>
            </w:r>
          </w:p>
        </w:tc>
        <w:tc>
          <w:tcPr>
            <w:tcW w:w="1540" w:type="dxa"/>
            <w:tcBorders>
              <w:top w:val="nil"/>
              <w:left w:val="nil"/>
              <w:bottom w:val="single" w:sz="4" w:space="0" w:color="auto"/>
              <w:right w:val="single" w:sz="4" w:space="0" w:color="auto"/>
            </w:tcBorders>
            <w:shd w:val="clear" w:color="auto" w:fill="auto"/>
            <w:vAlign w:val="center"/>
            <w:hideMark/>
          </w:tcPr>
          <w:p w14:paraId="0258485E"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0FDCE8F0"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28E0E7CD"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33</w:t>
            </w:r>
          </w:p>
        </w:tc>
      </w:tr>
      <w:tr w:rsidR="0032335C" w:rsidRPr="00C63A39" w14:paraId="71B51482"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6E011480" w14:textId="75C7FA12" w:rsidR="0032335C" w:rsidRPr="00C63A39" w:rsidRDefault="0032335C" w:rsidP="0032335C">
            <w:pPr>
              <w:rPr>
                <w:color w:val="000000"/>
                <w:kern w:val="22"/>
                <w:szCs w:val="22"/>
                <w:lang w:val="fr-FR" w:eastAsia="en-CA"/>
              </w:rPr>
            </w:pPr>
            <w:r w:rsidRPr="00C63A39">
              <w:rPr>
                <w:szCs w:val="22"/>
                <w:lang w:val="fr-FR"/>
              </w:rPr>
              <w:t>Cambodge</w:t>
            </w:r>
          </w:p>
        </w:tc>
        <w:tc>
          <w:tcPr>
            <w:tcW w:w="1540" w:type="dxa"/>
            <w:tcBorders>
              <w:top w:val="nil"/>
              <w:left w:val="nil"/>
              <w:bottom w:val="single" w:sz="4" w:space="0" w:color="auto"/>
              <w:right w:val="single" w:sz="4" w:space="0" w:color="auto"/>
            </w:tcBorders>
            <w:shd w:val="clear" w:color="auto" w:fill="auto"/>
            <w:vAlign w:val="center"/>
            <w:hideMark/>
          </w:tcPr>
          <w:p w14:paraId="3A7C57F4"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14:paraId="4F470362"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14:paraId="725994F9"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198</w:t>
            </w:r>
          </w:p>
        </w:tc>
      </w:tr>
      <w:tr w:rsidR="0032335C" w:rsidRPr="00C63A39" w14:paraId="0A2AD339"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4AE0A966" w14:textId="63D36D53" w:rsidR="0032335C" w:rsidRPr="00C63A39" w:rsidRDefault="0032335C" w:rsidP="0032335C">
            <w:pPr>
              <w:rPr>
                <w:color w:val="000000"/>
                <w:kern w:val="22"/>
                <w:szCs w:val="22"/>
                <w:lang w:val="fr-FR" w:eastAsia="en-CA"/>
              </w:rPr>
            </w:pPr>
            <w:r w:rsidRPr="00C63A39">
              <w:rPr>
                <w:szCs w:val="22"/>
                <w:lang w:val="fr-FR"/>
              </w:rPr>
              <w:t>Cameroun</w:t>
            </w:r>
          </w:p>
        </w:tc>
        <w:tc>
          <w:tcPr>
            <w:tcW w:w="1540" w:type="dxa"/>
            <w:tcBorders>
              <w:top w:val="nil"/>
              <w:left w:val="nil"/>
              <w:bottom w:val="single" w:sz="4" w:space="0" w:color="auto"/>
              <w:right w:val="single" w:sz="4" w:space="0" w:color="auto"/>
            </w:tcBorders>
            <w:shd w:val="clear" w:color="auto" w:fill="auto"/>
            <w:vAlign w:val="center"/>
            <w:hideMark/>
          </w:tcPr>
          <w:p w14:paraId="27CF96BB"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0.013 </w:t>
            </w:r>
          </w:p>
        </w:tc>
        <w:tc>
          <w:tcPr>
            <w:tcW w:w="1540" w:type="dxa"/>
            <w:tcBorders>
              <w:top w:val="nil"/>
              <w:left w:val="nil"/>
              <w:bottom w:val="single" w:sz="4" w:space="0" w:color="auto"/>
              <w:right w:val="single" w:sz="4" w:space="0" w:color="auto"/>
            </w:tcBorders>
            <w:shd w:val="clear" w:color="auto" w:fill="auto"/>
            <w:noWrap/>
            <w:vAlign w:val="center"/>
            <w:hideMark/>
          </w:tcPr>
          <w:p w14:paraId="61D65441"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0.019 </w:t>
            </w:r>
          </w:p>
        </w:tc>
        <w:tc>
          <w:tcPr>
            <w:tcW w:w="1540" w:type="dxa"/>
            <w:tcBorders>
              <w:top w:val="nil"/>
              <w:left w:val="nil"/>
              <w:bottom w:val="single" w:sz="4" w:space="0" w:color="auto"/>
              <w:right w:val="single" w:sz="4" w:space="0" w:color="auto"/>
            </w:tcBorders>
            <w:shd w:val="clear" w:color="auto" w:fill="auto"/>
            <w:noWrap/>
            <w:vAlign w:val="center"/>
            <w:hideMark/>
          </w:tcPr>
          <w:p w14:paraId="766B3706"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429</w:t>
            </w:r>
          </w:p>
        </w:tc>
      </w:tr>
      <w:tr w:rsidR="0032335C" w:rsidRPr="00C63A39" w14:paraId="70F0DE26"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27F5F6DE" w14:textId="0488E436" w:rsidR="0032335C" w:rsidRPr="00C63A39" w:rsidRDefault="0032335C" w:rsidP="0032335C">
            <w:pPr>
              <w:rPr>
                <w:color w:val="000000"/>
                <w:kern w:val="22"/>
                <w:szCs w:val="22"/>
                <w:lang w:val="fr-FR" w:eastAsia="en-CA"/>
              </w:rPr>
            </w:pPr>
            <w:r w:rsidRPr="00C63A39">
              <w:rPr>
                <w:szCs w:val="22"/>
                <w:lang w:val="fr-FR"/>
              </w:rPr>
              <w:t>République centrafricaine</w:t>
            </w:r>
          </w:p>
        </w:tc>
        <w:tc>
          <w:tcPr>
            <w:tcW w:w="1540" w:type="dxa"/>
            <w:tcBorders>
              <w:top w:val="nil"/>
              <w:left w:val="nil"/>
              <w:bottom w:val="single" w:sz="4" w:space="0" w:color="auto"/>
              <w:right w:val="single" w:sz="4" w:space="0" w:color="auto"/>
            </w:tcBorders>
            <w:shd w:val="clear" w:color="auto" w:fill="auto"/>
            <w:vAlign w:val="center"/>
            <w:hideMark/>
          </w:tcPr>
          <w:p w14:paraId="220C6F3A"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5213CFF9"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5D1E5D5F"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33</w:t>
            </w:r>
          </w:p>
        </w:tc>
      </w:tr>
    </w:tbl>
    <w:p w14:paraId="5829C3B5" w14:textId="79C14539" w:rsidR="001F110D" w:rsidRPr="00C63A39" w:rsidRDefault="001F110D" w:rsidP="0079737F">
      <w:pPr>
        <w:spacing w:after="160" w:line="259" w:lineRule="auto"/>
        <w:rPr>
          <w:rFonts w:eastAsiaTheme="minorEastAsia"/>
          <w:bCs/>
          <w:kern w:val="22"/>
          <w:szCs w:val="22"/>
          <w:lang w:val="fr-FR"/>
        </w:rPr>
      </w:pPr>
    </w:p>
    <w:p w14:paraId="0689A44E" w14:textId="77777777" w:rsidR="001F110D" w:rsidRPr="00C63A39" w:rsidRDefault="001F110D">
      <w:pPr>
        <w:spacing w:after="160" w:line="259" w:lineRule="auto"/>
        <w:rPr>
          <w:rFonts w:eastAsiaTheme="minorEastAsia"/>
          <w:bCs/>
          <w:kern w:val="22"/>
          <w:szCs w:val="22"/>
          <w:lang w:val="fr-FR"/>
        </w:rPr>
      </w:pPr>
      <w:r w:rsidRPr="00C63A39">
        <w:rPr>
          <w:rFonts w:eastAsiaTheme="minorEastAsia"/>
          <w:bCs/>
          <w:kern w:val="22"/>
          <w:szCs w:val="22"/>
          <w:lang w:val="fr-FR"/>
        </w:rPr>
        <w:br w:type="page"/>
      </w:r>
    </w:p>
    <w:tbl>
      <w:tblPr>
        <w:tblW w:w="9420" w:type="dxa"/>
        <w:tblLook w:val="04A0" w:firstRow="1" w:lastRow="0" w:firstColumn="1" w:lastColumn="0" w:noHBand="0" w:noVBand="1"/>
      </w:tblPr>
      <w:tblGrid>
        <w:gridCol w:w="4800"/>
        <w:gridCol w:w="1540"/>
        <w:gridCol w:w="1540"/>
        <w:gridCol w:w="1540"/>
      </w:tblGrid>
      <w:tr w:rsidR="005F7E95" w:rsidRPr="00C63A39" w14:paraId="7BBD6894" w14:textId="77777777" w:rsidTr="001F110D">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E7C7CF" w14:textId="00126692" w:rsidR="005F7E95" w:rsidRPr="00C63A39" w:rsidRDefault="005F7E95" w:rsidP="005F7E95">
            <w:pPr>
              <w:jc w:val="center"/>
              <w:rPr>
                <w:b/>
                <w:bCs/>
                <w:kern w:val="22"/>
                <w:szCs w:val="22"/>
                <w:lang w:val="fr-FR" w:eastAsia="en-CA"/>
              </w:rPr>
            </w:pPr>
            <w:r w:rsidRPr="00C63A39">
              <w:rPr>
                <w:b/>
                <w:bCs/>
                <w:kern w:val="22"/>
                <w:szCs w:val="22"/>
                <w:lang w:val="fr-FR" w:eastAsia="en-CA"/>
              </w:rPr>
              <w:lastRenderedPageBreak/>
              <w:t>Partie</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10E8FBA9" w14:textId="5482A97B" w:rsidR="005F7E95" w:rsidRPr="00C63A39" w:rsidRDefault="005F7E95" w:rsidP="005F7E95">
            <w:pPr>
              <w:jc w:val="center"/>
              <w:rPr>
                <w:b/>
                <w:bCs/>
                <w:color w:val="000000"/>
                <w:kern w:val="22"/>
                <w:szCs w:val="22"/>
                <w:lang w:val="fr-FR" w:eastAsia="en-CA"/>
              </w:rPr>
            </w:pPr>
            <w:r w:rsidRPr="00C63A39">
              <w:rPr>
                <w:b/>
                <w:bCs/>
                <w:color w:val="000000"/>
                <w:kern w:val="22"/>
                <w:szCs w:val="22"/>
                <w:lang w:val="fr-FR" w:eastAsia="en-CA"/>
              </w:rPr>
              <w:t xml:space="preserve">Barème des quotes-parts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550B435C" w14:textId="0566BE61" w:rsidR="005F7E95" w:rsidRPr="00C63A39" w:rsidRDefault="005F7E95" w:rsidP="005F7E95">
            <w:pPr>
              <w:jc w:val="center"/>
              <w:rPr>
                <w:b/>
                <w:bCs/>
                <w:color w:val="000000"/>
                <w:kern w:val="22"/>
                <w:szCs w:val="22"/>
                <w:lang w:val="fr-FR" w:eastAsia="en-CA"/>
              </w:rPr>
            </w:pPr>
            <w:r w:rsidRPr="00C63A39">
              <w:rPr>
                <w:b/>
                <w:bCs/>
                <w:color w:val="000000"/>
                <w:kern w:val="22"/>
                <w:szCs w:val="22"/>
                <w:lang w:val="fr-FR" w:eastAsia="en-CA"/>
              </w:rPr>
              <w:t>Barème assorti d’un plafond de 22% ; aucun PMA ne paie plus de 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2C23FD69" w14:textId="1ABD4B32" w:rsidR="005F7E95" w:rsidRPr="00C63A39" w:rsidRDefault="005F7E95" w:rsidP="005F7E95">
            <w:pPr>
              <w:jc w:val="center"/>
              <w:rPr>
                <w:b/>
                <w:bCs/>
                <w:color w:val="000000"/>
                <w:kern w:val="22"/>
                <w:szCs w:val="22"/>
                <w:lang w:val="fr-FR" w:eastAsia="en-CA"/>
              </w:rPr>
            </w:pPr>
            <w:r w:rsidRPr="00C63A39">
              <w:rPr>
                <w:b/>
                <w:bCs/>
                <w:color w:val="000000"/>
                <w:kern w:val="22"/>
                <w:szCs w:val="22"/>
                <w:lang w:val="fr-FR" w:eastAsia="en-CA"/>
              </w:rPr>
              <w:t>Contributions au 1er janvier 2020</w:t>
            </w:r>
          </w:p>
        </w:tc>
      </w:tr>
      <w:tr w:rsidR="0032335C" w:rsidRPr="00C63A39" w14:paraId="542FBF8D"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2C61E1E4" w14:textId="75DF46CF" w:rsidR="0032335C" w:rsidRPr="00C63A39" w:rsidRDefault="0032335C" w:rsidP="0032335C">
            <w:pPr>
              <w:rPr>
                <w:color w:val="000000"/>
                <w:kern w:val="22"/>
                <w:szCs w:val="22"/>
                <w:lang w:val="fr-FR" w:eastAsia="en-CA"/>
              </w:rPr>
            </w:pPr>
            <w:r w:rsidRPr="00C63A39">
              <w:rPr>
                <w:szCs w:val="22"/>
                <w:lang w:val="fr-FR"/>
              </w:rPr>
              <w:t>Tchad</w:t>
            </w:r>
          </w:p>
        </w:tc>
        <w:tc>
          <w:tcPr>
            <w:tcW w:w="1540" w:type="dxa"/>
            <w:tcBorders>
              <w:top w:val="nil"/>
              <w:left w:val="nil"/>
              <w:bottom w:val="single" w:sz="4" w:space="0" w:color="auto"/>
              <w:right w:val="single" w:sz="4" w:space="0" w:color="auto"/>
            </w:tcBorders>
            <w:shd w:val="clear" w:color="auto" w:fill="auto"/>
            <w:vAlign w:val="center"/>
            <w:hideMark/>
          </w:tcPr>
          <w:p w14:paraId="42239F80"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6BAAC9C3"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14:paraId="120B3CFF"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132</w:t>
            </w:r>
          </w:p>
        </w:tc>
      </w:tr>
      <w:tr w:rsidR="0032335C" w:rsidRPr="00C63A39" w14:paraId="1E4FC811"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46D477E9" w14:textId="1CDD2A4F" w:rsidR="0032335C" w:rsidRPr="00C63A39" w:rsidRDefault="0032335C" w:rsidP="0032335C">
            <w:pPr>
              <w:rPr>
                <w:color w:val="000000"/>
                <w:kern w:val="22"/>
                <w:szCs w:val="22"/>
                <w:lang w:val="fr-FR" w:eastAsia="en-CA"/>
              </w:rPr>
            </w:pPr>
            <w:r w:rsidRPr="00C63A39">
              <w:rPr>
                <w:szCs w:val="22"/>
                <w:lang w:val="fr-FR"/>
              </w:rPr>
              <w:t>Chine</w:t>
            </w:r>
          </w:p>
        </w:tc>
        <w:tc>
          <w:tcPr>
            <w:tcW w:w="1540" w:type="dxa"/>
            <w:tcBorders>
              <w:top w:val="nil"/>
              <w:left w:val="nil"/>
              <w:bottom w:val="single" w:sz="4" w:space="0" w:color="auto"/>
              <w:right w:val="single" w:sz="4" w:space="0" w:color="auto"/>
            </w:tcBorders>
            <w:shd w:val="clear" w:color="auto" w:fill="auto"/>
            <w:vAlign w:val="center"/>
            <w:hideMark/>
          </w:tcPr>
          <w:p w14:paraId="600910DE"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12.005 </w:t>
            </w:r>
          </w:p>
        </w:tc>
        <w:tc>
          <w:tcPr>
            <w:tcW w:w="1540" w:type="dxa"/>
            <w:tcBorders>
              <w:top w:val="nil"/>
              <w:left w:val="nil"/>
              <w:bottom w:val="single" w:sz="4" w:space="0" w:color="auto"/>
              <w:right w:val="single" w:sz="4" w:space="0" w:color="auto"/>
            </w:tcBorders>
            <w:shd w:val="clear" w:color="auto" w:fill="auto"/>
            <w:noWrap/>
            <w:vAlign w:val="center"/>
            <w:hideMark/>
          </w:tcPr>
          <w:p w14:paraId="56D8EBB7"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17.153 </w:t>
            </w:r>
          </w:p>
        </w:tc>
        <w:tc>
          <w:tcPr>
            <w:tcW w:w="1540" w:type="dxa"/>
            <w:tcBorders>
              <w:top w:val="nil"/>
              <w:left w:val="nil"/>
              <w:bottom w:val="single" w:sz="4" w:space="0" w:color="auto"/>
              <w:right w:val="single" w:sz="4" w:space="0" w:color="auto"/>
            </w:tcBorders>
            <w:shd w:val="clear" w:color="auto" w:fill="auto"/>
            <w:noWrap/>
            <w:vAlign w:val="center"/>
            <w:hideMark/>
          </w:tcPr>
          <w:p w14:paraId="5AD7A7DE"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396,458</w:t>
            </w:r>
          </w:p>
        </w:tc>
      </w:tr>
      <w:tr w:rsidR="0032335C" w:rsidRPr="00C63A39" w14:paraId="321D2670"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75BAF489" w14:textId="622CA8F8" w:rsidR="0032335C" w:rsidRPr="00C63A39" w:rsidRDefault="0032335C" w:rsidP="0032335C">
            <w:pPr>
              <w:rPr>
                <w:color w:val="000000"/>
                <w:kern w:val="22"/>
                <w:szCs w:val="22"/>
                <w:lang w:val="fr-FR" w:eastAsia="en-CA"/>
              </w:rPr>
            </w:pPr>
            <w:r w:rsidRPr="00C63A39">
              <w:rPr>
                <w:szCs w:val="22"/>
                <w:lang w:val="fr-FR"/>
              </w:rPr>
              <w:t>Colombie</w:t>
            </w:r>
          </w:p>
        </w:tc>
        <w:tc>
          <w:tcPr>
            <w:tcW w:w="1540" w:type="dxa"/>
            <w:tcBorders>
              <w:top w:val="nil"/>
              <w:left w:val="nil"/>
              <w:bottom w:val="single" w:sz="4" w:space="0" w:color="auto"/>
              <w:right w:val="single" w:sz="4" w:space="0" w:color="auto"/>
            </w:tcBorders>
            <w:shd w:val="clear" w:color="auto" w:fill="auto"/>
            <w:vAlign w:val="center"/>
            <w:hideMark/>
          </w:tcPr>
          <w:p w14:paraId="20442D19"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0.288 </w:t>
            </w:r>
          </w:p>
        </w:tc>
        <w:tc>
          <w:tcPr>
            <w:tcW w:w="1540" w:type="dxa"/>
            <w:tcBorders>
              <w:top w:val="nil"/>
              <w:left w:val="nil"/>
              <w:bottom w:val="single" w:sz="4" w:space="0" w:color="auto"/>
              <w:right w:val="single" w:sz="4" w:space="0" w:color="auto"/>
            </w:tcBorders>
            <w:shd w:val="clear" w:color="auto" w:fill="auto"/>
            <w:noWrap/>
            <w:vAlign w:val="center"/>
            <w:hideMark/>
          </w:tcPr>
          <w:p w14:paraId="7282DF56"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0.412 </w:t>
            </w:r>
          </w:p>
        </w:tc>
        <w:tc>
          <w:tcPr>
            <w:tcW w:w="1540" w:type="dxa"/>
            <w:tcBorders>
              <w:top w:val="nil"/>
              <w:left w:val="nil"/>
              <w:bottom w:val="single" w:sz="4" w:space="0" w:color="auto"/>
              <w:right w:val="single" w:sz="4" w:space="0" w:color="auto"/>
            </w:tcBorders>
            <w:shd w:val="clear" w:color="auto" w:fill="auto"/>
            <w:noWrap/>
            <w:vAlign w:val="center"/>
            <w:hideMark/>
          </w:tcPr>
          <w:p w14:paraId="21BEDC7B"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9,511</w:t>
            </w:r>
          </w:p>
        </w:tc>
      </w:tr>
      <w:tr w:rsidR="0032335C" w:rsidRPr="00C63A39" w14:paraId="42F2DAA6"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235862AB" w14:textId="52F3274C" w:rsidR="0032335C" w:rsidRPr="00C63A39" w:rsidRDefault="0032335C" w:rsidP="0032335C">
            <w:pPr>
              <w:rPr>
                <w:color w:val="000000"/>
                <w:kern w:val="22"/>
                <w:szCs w:val="22"/>
                <w:lang w:val="fr-FR" w:eastAsia="en-CA"/>
              </w:rPr>
            </w:pPr>
            <w:r w:rsidRPr="00C63A39">
              <w:rPr>
                <w:szCs w:val="22"/>
                <w:lang w:val="fr-FR"/>
              </w:rPr>
              <w:t>Comores</w:t>
            </w:r>
          </w:p>
        </w:tc>
        <w:tc>
          <w:tcPr>
            <w:tcW w:w="1540" w:type="dxa"/>
            <w:tcBorders>
              <w:top w:val="nil"/>
              <w:left w:val="nil"/>
              <w:bottom w:val="single" w:sz="4" w:space="0" w:color="auto"/>
              <w:right w:val="single" w:sz="4" w:space="0" w:color="auto"/>
            </w:tcBorders>
            <w:shd w:val="clear" w:color="auto" w:fill="auto"/>
            <w:vAlign w:val="center"/>
            <w:hideMark/>
          </w:tcPr>
          <w:p w14:paraId="10CDF4A5"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482F0C19"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4FEFF0B9"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33</w:t>
            </w:r>
          </w:p>
        </w:tc>
      </w:tr>
      <w:tr w:rsidR="0032335C" w:rsidRPr="00C63A39" w14:paraId="5353AAA4"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79BAEC4A" w14:textId="4D692A83" w:rsidR="0032335C" w:rsidRPr="00C63A39" w:rsidRDefault="0032335C" w:rsidP="0032335C">
            <w:pPr>
              <w:rPr>
                <w:color w:val="000000"/>
                <w:kern w:val="22"/>
                <w:szCs w:val="22"/>
                <w:lang w:val="fr-FR" w:eastAsia="en-CA"/>
              </w:rPr>
            </w:pPr>
            <w:r w:rsidRPr="00C63A39">
              <w:rPr>
                <w:szCs w:val="22"/>
                <w:lang w:val="fr-FR"/>
              </w:rPr>
              <w:t>Congo</w:t>
            </w:r>
          </w:p>
        </w:tc>
        <w:tc>
          <w:tcPr>
            <w:tcW w:w="1540" w:type="dxa"/>
            <w:tcBorders>
              <w:top w:val="nil"/>
              <w:left w:val="nil"/>
              <w:bottom w:val="single" w:sz="4" w:space="0" w:color="auto"/>
              <w:right w:val="single" w:sz="4" w:space="0" w:color="auto"/>
            </w:tcBorders>
            <w:shd w:val="clear" w:color="auto" w:fill="auto"/>
            <w:vAlign w:val="center"/>
            <w:hideMark/>
          </w:tcPr>
          <w:p w14:paraId="1307D8DC"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14:paraId="2F171AB5"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14:paraId="246860BB"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198</w:t>
            </w:r>
          </w:p>
        </w:tc>
      </w:tr>
      <w:tr w:rsidR="0032335C" w:rsidRPr="00C63A39" w14:paraId="60A833B1"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4BC64512" w14:textId="0B9D212B" w:rsidR="0032335C" w:rsidRPr="00C63A39" w:rsidRDefault="0032335C" w:rsidP="0032335C">
            <w:pPr>
              <w:rPr>
                <w:color w:val="000000"/>
                <w:kern w:val="22"/>
                <w:szCs w:val="22"/>
                <w:lang w:val="fr-FR" w:eastAsia="en-CA"/>
              </w:rPr>
            </w:pPr>
            <w:r w:rsidRPr="00C63A39">
              <w:rPr>
                <w:szCs w:val="22"/>
                <w:lang w:val="fr-FR"/>
              </w:rPr>
              <w:t>Costa Rica</w:t>
            </w:r>
          </w:p>
        </w:tc>
        <w:tc>
          <w:tcPr>
            <w:tcW w:w="1540" w:type="dxa"/>
            <w:tcBorders>
              <w:top w:val="nil"/>
              <w:left w:val="nil"/>
              <w:bottom w:val="single" w:sz="4" w:space="0" w:color="auto"/>
              <w:right w:val="single" w:sz="4" w:space="0" w:color="auto"/>
            </w:tcBorders>
            <w:shd w:val="clear" w:color="auto" w:fill="auto"/>
            <w:vAlign w:val="center"/>
            <w:hideMark/>
          </w:tcPr>
          <w:p w14:paraId="1054A82C"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0.062 </w:t>
            </w:r>
          </w:p>
        </w:tc>
        <w:tc>
          <w:tcPr>
            <w:tcW w:w="1540" w:type="dxa"/>
            <w:tcBorders>
              <w:top w:val="nil"/>
              <w:left w:val="nil"/>
              <w:bottom w:val="single" w:sz="4" w:space="0" w:color="auto"/>
              <w:right w:val="single" w:sz="4" w:space="0" w:color="auto"/>
            </w:tcBorders>
            <w:shd w:val="clear" w:color="auto" w:fill="auto"/>
            <w:noWrap/>
            <w:vAlign w:val="center"/>
            <w:hideMark/>
          </w:tcPr>
          <w:p w14:paraId="1AC4514A"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0.089 </w:t>
            </w:r>
          </w:p>
        </w:tc>
        <w:tc>
          <w:tcPr>
            <w:tcW w:w="1540" w:type="dxa"/>
            <w:tcBorders>
              <w:top w:val="nil"/>
              <w:left w:val="nil"/>
              <w:bottom w:val="single" w:sz="4" w:space="0" w:color="auto"/>
              <w:right w:val="single" w:sz="4" w:space="0" w:color="auto"/>
            </w:tcBorders>
            <w:shd w:val="clear" w:color="auto" w:fill="auto"/>
            <w:noWrap/>
            <w:vAlign w:val="center"/>
            <w:hideMark/>
          </w:tcPr>
          <w:p w14:paraId="786F4B49"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2,048</w:t>
            </w:r>
          </w:p>
        </w:tc>
      </w:tr>
      <w:tr w:rsidR="0032335C" w:rsidRPr="00C63A39" w14:paraId="4208B930"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2FD3F707" w14:textId="0824E069" w:rsidR="0032335C" w:rsidRPr="00C63A39" w:rsidRDefault="0032335C" w:rsidP="0032335C">
            <w:pPr>
              <w:rPr>
                <w:color w:val="000000"/>
                <w:kern w:val="22"/>
                <w:szCs w:val="22"/>
                <w:lang w:val="fr-FR" w:eastAsia="en-CA"/>
              </w:rPr>
            </w:pPr>
            <w:r w:rsidRPr="00C63A39">
              <w:rPr>
                <w:szCs w:val="22"/>
                <w:lang w:val="fr-FR"/>
              </w:rPr>
              <w:t>Côte d'Ivoire</w:t>
            </w:r>
          </w:p>
        </w:tc>
        <w:tc>
          <w:tcPr>
            <w:tcW w:w="1540" w:type="dxa"/>
            <w:tcBorders>
              <w:top w:val="nil"/>
              <w:left w:val="nil"/>
              <w:bottom w:val="single" w:sz="4" w:space="0" w:color="auto"/>
              <w:right w:val="single" w:sz="4" w:space="0" w:color="auto"/>
            </w:tcBorders>
            <w:shd w:val="clear" w:color="auto" w:fill="auto"/>
            <w:vAlign w:val="center"/>
            <w:hideMark/>
          </w:tcPr>
          <w:p w14:paraId="71B88655"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0.013 </w:t>
            </w:r>
          </w:p>
        </w:tc>
        <w:tc>
          <w:tcPr>
            <w:tcW w:w="1540" w:type="dxa"/>
            <w:tcBorders>
              <w:top w:val="nil"/>
              <w:left w:val="nil"/>
              <w:bottom w:val="single" w:sz="4" w:space="0" w:color="auto"/>
              <w:right w:val="single" w:sz="4" w:space="0" w:color="auto"/>
            </w:tcBorders>
            <w:shd w:val="clear" w:color="auto" w:fill="auto"/>
            <w:noWrap/>
            <w:vAlign w:val="center"/>
            <w:hideMark/>
          </w:tcPr>
          <w:p w14:paraId="4F064CF6"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0.019 </w:t>
            </w:r>
          </w:p>
        </w:tc>
        <w:tc>
          <w:tcPr>
            <w:tcW w:w="1540" w:type="dxa"/>
            <w:tcBorders>
              <w:top w:val="nil"/>
              <w:left w:val="nil"/>
              <w:bottom w:val="single" w:sz="4" w:space="0" w:color="auto"/>
              <w:right w:val="single" w:sz="4" w:space="0" w:color="auto"/>
            </w:tcBorders>
            <w:shd w:val="clear" w:color="auto" w:fill="auto"/>
            <w:noWrap/>
            <w:vAlign w:val="center"/>
            <w:hideMark/>
          </w:tcPr>
          <w:p w14:paraId="3FC34A5D"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429</w:t>
            </w:r>
          </w:p>
        </w:tc>
      </w:tr>
      <w:tr w:rsidR="0032335C" w:rsidRPr="00C63A39" w14:paraId="5479A632"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63B53363" w14:textId="6D8B7E4F" w:rsidR="0032335C" w:rsidRPr="00C63A39" w:rsidRDefault="0032335C" w:rsidP="0032335C">
            <w:pPr>
              <w:rPr>
                <w:color w:val="000000"/>
                <w:kern w:val="22"/>
                <w:szCs w:val="22"/>
                <w:lang w:val="fr-FR" w:eastAsia="en-CA"/>
              </w:rPr>
            </w:pPr>
            <w:r w:rsidRPr="00C63A39">
              <w:rPr>
                <w:szCs w:val="22"/>
                <w:lang w:val="fr-FR"/>
              </w:rPr>
              <w:t>Croatie</w:t>
            </w:r>
          </w:p>
        </w:tc>
        <w:tc>
          <w:tcPr>
            <w:tcW w:w="1540" w:type="dxa"/>
            <w:tcBorders>
              <w:top w:val="nil"/>
              <w:left w:val="nil"/>
              <w:bottom w:val="single" w:sz="4" w:space="0" w:color="auto"/>
              <w:right w:val="single" w:sz="4" w:space="0" w:color="auto"/>
            </w:tcBorders>
            <w:shd w:val="clear" w:color="auto" w:fill="auto"/>
            <w:vAlign w:val="center"/>
            <w:hideMark/>
          </w:tcPr>
          <w:p w14:paraId="39814BB6"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0.077 </w:t>
            </w:r>
          </w:p>
        </w:tc>
        <w:tc>
          <w:tcPr>
            <w:tcW w:w="1540" w:type="dxa"/>
            <w:tcBorders>
              <w:top w:val="nil"/>
              <w:left w:val="nil"/>
              <w:bottom w:val="single" w:sz="4" w:space="0" w:color="auto"/>
              <w:right w:val="single" w:sz="4" w:space="0" w:color="auto"/>
            </w:tcBorders>
            <w:shd w:val="clear" w:color="auto" w:fill="auto"/>
            <w:noWrap/>
            <w:vAlign w:val="center"/>
            <w:hideMark/>
          </w:tcPr>
          <w:p w14:paraId="30424A6D"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0.110 </w:t>
            </w:r>
          </w:p>
        </w:tc>
        <w:tc>
          <w:tcPr>
            <w:tcW w:w="1540" w:type="dxa"/>
            <w:tcBorders>
              <w:top w:val="nil"/>
              <w:left w:val="nil"/>
              <w:bottom w:val="single" w:sz="4" w:space="0" w:color="auto"/>
              <w:right w:val="single" w:sz="4" w:space="0" w:color="auto"/>
            </w:tcBorders>
            <w:shd w:val="clear" w:color="auto" w:fill="auto"/>
            <w:noWrap/>
            <w:vAlign w:val="center"/>
            <w:hideMark/>
          </w:tcPr>
          <w:p w14:paraId="7A2E121C"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2,543</w:t>
            </w:r>
          </w:p>
        </w:tc>
      </w:tr>
      <w:tr w:rsidR="0032335C" w:rsidRPr="00C63A39" w14:paraId="320C34E4"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59E9A6E7" w14:textId="1F6ECABE" w:rsidR="0032335C" w:rsidRPr="00C63A39" w:rsidRDefault="0032335C" w:rsidP="0032335C">
            <w:pPr>
              <w:rPr>
                <w:color w:val="000000"/>
                <w:kern w:val="22"/>
                <w:szCs w:val="22"/>
                <w:lang w:val="fr-FR" w:eastAsia="en-CA"/>
              </w:rPr>
            </w:pPr>
            <w:r w:rsidRPr="00C63A39">
              <w:rPr>
                <w:szCs w:val="22"/>
                <w:lang w:val="fr-FR"/>
              </w:rPr>
              <w:t>Cuba</w:t>
            </w:r>
          </w:p>
        </w:tc>
        <w:tc>
          <w:tcPr>
            <w:tcW w:w="1540" w:type="dxa"/>
            <w:tcBorders>
              <w:top w:val="nil"/>
              <w:left w:val="nil"/>
              <w:bottom w:val="single" w:sz="4" w:space="0" w:color="auto"/>
              <w:right w:val="single" w:sz="4" w:space="0" w:color="auto"/>
            </w:tcBorders>
            <w:shd w:val="clear" w:color="auto" w:fill="auto"/>
            <w:vAlign w:val="center"/>
            <w:hideMark/>
          </w:tcPr>
          <w:p w14:paraId="73B4C47B"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0.080 </w:t>
            </w:r>
          </w:p>
        </w:tc>
        <w:tc>
          <w:tcPr>
            <w:tcW w:w="1540" w:type="dxa"/>
            <w:tcBorders>
              <w:top w:val="nil"/>
              <w:left w:val="nil"/>
              <w:bottom w:val="single" w:sz="4" w:space="0" w:color="auto"/>
              <w:right w:val="single" w:sz="4" w:space="0" w:color="auto"/>
            </w:tcBorders>
            <w:shd w:val="clear" w:color="auto" w:fill="auto"/>
            <w:noWrap/>
            <w:vAlign w:val="center"/>
            <w:hideMark/>
          </w:tcPr>
          <w:p w14:paraId="78E29758"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0.114 </w:t>
            </w:r>
          </w:p>
        </w:tc>
        <w:tc>
          <w:tcPr>
            <w:tcW w:w="1540" w:type="dxa"/>
            <w:tcBorders>
              <w:top w:val="nil"/>
              <w:left w:val="nil"/>
              <w:bottom w:val="single" w:sz="4" w:space="0" w:color="auto"/>
              <w:right w:val="single" w:sz="4" w:space="0" w:color="auto"/>
            </w:tcBorders>
            <w:shd w:val="clear" w:color="auto" w:fill="auto"/>
            <w:noWrap/>
            <w:vAlign w:val="center"/>
            <w:hideMark/>
          </w:tcPr>
          <w:p w14:paraId="27D50421"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2,642</w:t>
            </w:r>
          </w:p>
        </w:tc>
      </w:tr>
      <w:tr w:rsidR="0032335C" w:rsidRPr="00C63A39" w14:paraId="1D5893EF"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1955CC92" w14:textId="464B2432" w:rsidR="0032335C" w:rsidRPr="00C63A39" w:rsidRDefault="0032335C" w:rsidP="0032335C">
            <w:pPr>
              <w:rPr>
                <w:color w:val="000000"/>
                <w:kern w:val="22"/>
                <w:szCs w:val="22"/>
                <w:lang w:val="fr-FR" w:eastAsia="en-CA"/>
              </w:rPr>
            </w:pPr>
            <w:r w:rsidRPr="00C63A39">
              <w:rPr>
                <w:szCs w:val="22"/>
                <w:lang w:val="fr-FR"/>
              </w:rPr>
              <w:t>Chypre</w:t>
            </w:r>
          </w:p>
        </w:tc>
        <w:tc>
          <w:tcPr>
            <w:tcW w:w="1540" w:type="dxa"/>
            <w:tcBorders>
              <w:top w:val="nil"/>
              <w:left w:val="nil"/>
              <w:bottom w:val="single" w:sz="4" w:space="0" w:color="auto"/>
              <w:right w:val="single" w:sz="4" w:space="0" w:color="auto"/>
            </w:tcBorders>
            <w:shd w:val="clear" w:color="auto" w:fill="auto"/>
            <w:vAlign w:val="center"/>
            <w:hideMark/>
          </w:tcPr>
          <w:p w14:paraId="0B95CA4B"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0.036 </w:t>
            </w:r>
          </w:p>
        </w:tc>
        <w:tc>
          <w:tcPr>
            <w:tcW w:w="1540" w:type="dxa"/>
            <w:tcBorders>
              <w:top w:val="nil"/>
              <w:left w:val="nil"/>
              <w:bottom w:val="single" w:sz="4" w:space="0" w:color="auto"/>
              <w:right w:val="single" w:sz="4" w:space="0" w:color="auto"/>
            </w:tcBorders>
            <w:shd w:val="clear" w:color="auto" w:fill="auto"/>
            <w:noWrap/>
            <w:vAlign w:val="center"/>
            <w:hideMark/>
          </w:tcPr>
          <w:p w14:paraId="0C7E5D24"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0.051 </w:t>
            </w:r>
          </w:p>
        </w:tc>
        <w:tc>
          <w:tcPr>
            <w:tcW w:w="1540" w:type="dxa"/>
            <w:tcBorders>
              <w:top w:val="nil"/>
              <w:left w:val="nil"/>
              <w:bottom w:val="single" w:sz="4" w:space="0" w:color="auto"/>
              <w:right w:val="single" w:sz="4" w:space="0" w:color="auto"/>
            </w:tcBorders>
            <w:shd w:val="clear" w:color="auto" w:fill="auto"/>
            <w:noWrap/>
            <w:vAlign w:val="center"/>
            <w:hideMark/>
          </w:tcPr>
          <w:p w14:paraId="66C7E2E7"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1,189</w:t>
            </w:r>
          </w:p>
        </w:tc>
      </w:tr>
      <w:tr w:rsidR="0032335C" w:rsidRPr="00C63A39" w14:paraId="1AD6F1E5"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6A2FED65" w14:textId="0043ED7E" w:rsidR="0032335C" w:rsidRPr="00C63A39" w:rsidRDefault="00432878" w:rsidP="0032335C">
            <w:pPr>
              <w:rPr>
                <w:color w:val="000000"/>
                <w:kern w:val="22"/>
                <w:szCs w:val="22"/>
                <w:lang w:val="fr-FR" w:eastAsia="en-CA"/>
              </w:rPr>
            </w:pPr>
            <w:r w:rsidRPr="00C63A39">
              <w:rPr>
                <w:szCs w:val="22"/>
                <w:lang w:val="fr-FR"/>
              </w:rPr>
              <w:t xml:space="preserve">Tchéquie </w:t>
            </w:r>
          </w:p>
        </w:tc>
        <w:tc>
          <w:tcPr>
            <w:tcW w:w="1540" w:type="dxa"/>
            <w:tcBorders>
              <w:top w:val="nil"/>
              <w:left w:val="nil"/>
              <w:bottom w:val="single" w:sz="4" w:space="0" w:color="auto"/>
              <w:right w:val="single" w:sz="4" w:space="0" w:color="auto"/>
            </w:tcBorders>
            <w:shd w:val="clear" w:color="auto" w:fill="auto"/>
            <w:vAlign w:val="center"/>
            <w:hideMark/>
          </w:tcPr>
          <w:p w14:paraId="4BB33706"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0.311 </w:t>
            </w:r>
          </w:p>
        </w:tc>
        <w:tc>
          <w:tcPr>
            <w:tcW w:w="1540" w:type="dxa"/>
            <w:tcBorders>
              <w:top w:val="nil"/>
              <w:left w:val="nil"/>
              <w:bottom w:val="single" w:sz="4" w:space="0" w:color="auto"/>
              <w:right w:val="single" w:sz="4" w:space="0" w:color="auto"/>
            </w:tcBorders>
            <w:shd w:val="clear" w:color="auto" w:fill="auto"/>
            <w:noWrap/>
            <w:vAlign w:val="center"/>
            <w:hideMark/>
          </w:tcPr>
          <w:p w14:paraId="3552BA45"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0.444 </w:t>
            </w:r>
          </w:p>
        </w:tc>
        <w:tc>
          <w:tcPr>
            <w:tcW w:w="1540" w:type="dxa"/>
            <w:tcBorders>
              <w:top w:val="nil"/>
              <w:left w:val="nil"/>
              <w:bottom w:val="single" w:sz="4" w:space="0" w:color="auto"/>
              <w:right w:val="single" w:sz="4" w:space="0" w:color="auto"/>
            </w:tcBorders>
            <w:shd w:val="clear" w:color="auto" w:fill="auto"/>
            <w:noWrap/>
            <w:vAlign w:val="center"/>
            <w:hideMark/>
          </w:tcPr>
          <w:p w14:paraId="41C0C1C8"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10,271</w:t>
            </w:r>
          </w:p>
        </w:tc>
      </w:tr>
      <w:tr w:rsidR="0032335C" w:rsidRPr="00C63A39" w14:paraId="22534E96"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430AA8AC" w14:textId="58EC85C7" w:rsidR="0032335C" w:rsidRPr="00C63A39" w:rsidRDefault="0032335C" w:rsidP="0032335C">
            <w:pPr>
              <w:rPr>
                <w:color w:val="000000"/>
                <w:kern w:val="22"/>
                <w:szCs w:val="22"/>
                <w:lang w:val="fr-FR" w:eastAsia="en-CA"/>
              </w:rPr>
            </w:pPr>
            <w:r w:rsidRPr="00C63A39">
              <w:rPr>
                <w:szCs w:val="22"/>
                <w:lang w:val="fr-FR"/>
              </w:rPr>
              <w:t>République populaire démocratique de Corée</w:t>
            </w:r>
          </w:p>
        </w:tc>
        <w:tc>
          <w:tcPr>
            <w:tcW w:w="1540" w:type="dxa"/>
            <w:tcBorders>
              <w:top w:val="nil"/>
              <w:left w:val="nil"/>
              <w:bottom w:val="single" w:sz="4" w:space="0" w:color="auto"/>
              <w:right w:val="single" w:sz="4" w:space="0" w:color="auto"/>
            </w:tcBorders>
            <w:shd w:val="clear" w:color="auto" w:fill="auto"/>
            <w:vAlign w:val="center"/>
            <w:hideMark/>
          </w:tcPr>
          <w:p w14:paraId="0AF59718"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14:paraId="0AB22793"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14:paraId="6FA4DA30"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198</w:t>
            </w:r>
          </w:p>
        </w:tc>
      </w:tr>
      <w:tr w:rsidR="0032335C" w:rsidRPr="00C63A39" w14:paraId="30C2B5A5"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70FAA0BD" w14:textId="7A5BCEE2" w:rsidR="0032335C" w:rsidRPr="00C63A39" w:rsidRDefault="0032335C" w:rsidP="0032335C">
            <w:pPr>
              <w:rPr>
                <w:color w:val="000000"/>
                <w:kern w:val="22"/>
                <w:szCs w:val="22"/>
                <w:lang w:val="fr-FR" w:eastAsia="en-CA"/>
              </w:rPr>
            </w:pPr>
            <w:r w:rsidRPr="00C63A39">
              <w:rPr>
                <w:szCs w:val="22"/>
                <w:lang w:val="fr-FR"/>
              </w:rPr>
              <w:t>République démocratique du Congo</w:t>
            </w:r>
          </w:p>
        </w:tc>
        <w:tc>
          <w:tcPr>
            <w:tcW w:w="1540" w:type="dxa"/>
            <w:tcBorders>
              <w:top w:val="nil"/>
              <w:left w:val="nil"/>
              <w:bottom w:val="single" w:sz="4" w:space="0" w:color="auto"/>
              <w:right w:val="single" w:sz="4" w:space="0" w:color="auto"/>
            </w:tcBorders>
            <w:shd w:val="clear" w:color="auto" w:fill="auto"/>
            <w:vAlign w:val="center"/>
            <w:hideMark/>
          </w:tcPr>
          <w:p w14:paraId="59F5611A"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359B18C2"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1A119D0D"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231</w:t>
            </w:r>
          </w:p>
        </w:tc>
      </w:tr>
      <w:tr w:rsidR="0032335C" w:rsidRPr="00C63A39" w14:paraId="5446152C"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38BF3E14" w14:textId="78A8C3D3" w:rsidR="0032335C" w:rsidRPr="00C63A39" w:rsidRDefault="0032335C" w:rsidP="0032335C">
            <w:pPr>
              <w:rPr>
                <w:color w:val="000000"/>
                <w:kern w:val="22"/>
                <w:szCs w:val="22"/>
                <w:lang w:val="fr-FR" w:eastAsia="en-CA"/>
              </w:rPr>
            </w:pPr>
            <w:r w:rsidRPr="00C63A39">
              <w:rPr>
                <w:szCs w:val="22"/>
                <w:lang w:val="fr-FR"/>
              </w:rPr>
              <w:t>Danemark</w:t>
            </w:r>
          </w:p>
        </w:tc>
        <w:tc>
          <w:tcPr>
            <w:tcW w:w="1540" w:type="dxa"/>
            <w:tcBorders>
              <w:top w:val="nil"/>
              <w:left w:val="nil"/>
              <w:bottom w:val="single" w:sz="4" w:space="0" w:color="auto"/>
              <w:right w:val="single" w:sz="4" w:space="0" w:color="auto"/>
            </w:tcBorders>
            <w:shd w:val="clear" w:color="auto" w:fill="auto"/>
            <w:vAlign w:val="center"/>
            <w:hideMark/>
          </w:tcPr>
          <w:p w14:paraId="1BBD5584"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0.554 </w:t>
            </w:r>
          </w:p>
        </w:tc>
        <w:tc>
          <w:tcPr>
            <w:tcW w:w="1540" w:type="dxa"/>
            <w:tcBorders>
              <w:top w:val="nil"/>
              <w:left w:val="nil"/>
              <w:bottom w:val="single" w:sz="4" w:space="0" w:color="auto"/>
              <w:right w:val="single" w:sz="4" w:space="0" w:color="auto"/>
            </w:tcBorders>
            <w:shd w:val="clear" w:color="auto" w:fill="auto"/>
            <w:noWrap/>
            <w:vAlign w:val="center"/>
            <w:hideMark/>
          </w:tcPr>
          <w:p w14:paraId="49867109"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0.792 </w:t>
            </w:r>
          </w:p>
        </w:tc>
        <w:tc>
          <w:tcPr>
            <w:tcW w:w="1540" w:type="dxa"/>
            <w:tcBorders>
              <w:top w:val="nil"/>
              <w:left w:val="nil"/>
              <w:bottom w:val="single" w:sz="4" w:space="0" w:color="auto"/>
              <w:right w:val="single" w:sz="4" w:space="0" w:color="auto"/>
            </w:tcBorders>
            <w:shd w:val="clear" w:color="auto" w:fill="auto"/>
            <w:noWrap/>
            <w:vAlign w:val="center"/>
            <w:hideMark/>
          </w:tcPr>
          <w:p w14:paraId="45AB3611"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18,296</w:t>
            </w:r>
          </w:p>
        </w:tc>
      </w:tr>
      <w:tr w:rsidR="0032335C" w:rsidRPr="00C63A39" w14:paraId="4F527648"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1FA72183" w14:textId="6A9A0C60" w:rsidR="0032335C" w:rsidRPr="00C63A39" w:rsidRDefault="0032335C" w:rsidP="0032335C">
            <w:pPr>
              <w:rPr>
                <w:color w:val="000000"/>
                <w:kern w:val="22"/>
                <w:szCs w:val="22"/>
                <w:lang w:val="fr-FR" w:eastAsia="en-CA"/>
              </w:rPr>
            </w:pPr>
            <w:r w:rsidRPr="00C63A39">
              <w:rPr>
                <w:szCs w:val="22"/>
                <w:lang w:val="fr-FR"/>
              </w:rPr>
              <w:t>Djibouti</w:t>
            </w:r>
          </w:p>
        </w:tc>
        <w:tc>
          <w:tcPr>
            <w:tcW w:w="1540" w:type="dxa"/>
            <w:tcBorders>
              <w:top w:val="nil"/>
              <w:left w:val="nil"/>
              <w:bottom w:val="single" w:sz="4" w:space="0" w:color="auto"/>
              <w:right w:val="single" w:sz="4" w:space="0" w:color="auto"/>
            </w:tcBorders>
            <w:shd w:val="clear" w:color="auto" w:fill="auto"/>
            <w:vAlign w:val="center"/>
            <w:hideMark/>
          </w:tcPr>
          <w:p w14:paraId="69BD60F9"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213E2E1D"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697BD976"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33</w:t>
            </w:r>
          </w:p>
        </w:tc>
      </w:tr>
      <w:tr w:rsidR="0032335C" w:rsidRPr="00C63A39" w14:paraId="32795AE2"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29909002" w14:textId="651FC3F9" w:rsidR="0032335C" w:rsidRPr="00C63A39" w:rsidRDefault="0032335C" w:rsidP="0032335C">
            <w:pPr>
              <w:rPr>
                <w:color w:val="000000"/>
                <w:kern w:val="22"/>
                <w:szCs w:val="22"/>
                <w:lang w:val="fr-FR" w:eastAsia="en-CA"/>
              </w:rPr>
            </w:pPr>
            <w:r w:rsidRPr="00C63A39">
              <w:rPr>
                <w:szCs w:val="22"/>
                <w:lang w:val="fr-FR"/>
              </w:rPr>
              <w:t>Dominique</w:t>
            </w:r>
          </w:p>
        </w:tc>
        <w:tc>
          <w:tcPr>
            <w:tcW w:w="1540" w:type="dxa"/>
            <w:tcBorders>
              <w:top w:val="nil"/>
              <w:left w:val="nil"/>
              <w:bottom w:val="single" w:sz="4" w:space="0" w:color="auto"/>
              <w:right w:val="single" w:sz="4" w:space="0" w:color="auto"/>
            </w:tcBorders>
            <w:shd w:val="clear" w:color="auto" w:fill="auto"/>
            <w:vAlign w:val="center"/>
            <w:hideMark/>
          </w:tcPr>
          <w:p w14:paraId="29F16D20"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2DF43AA5"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0D7A9380"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33</w:t>
            </w:r>
          </w:p>
        </w:tc>
      </w:tr>
      <w:tr w:rsidR="0032335C" w:rsidRPr="00C63A39" w14:paraId="54A09317"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74A07195" w14:textId="463ABDD9" w:rsidR="0032335C" w:rsidRPr="00C63A39" w:rsidRDefault="0032335C" w:rsidP="0032335C">
            <w:pPr>
              <w:rPr>
                <w:color w:val="000000"/>
                <w:kern w:val="22"/>
                <w:szCs w:val="22"/>
                <w:lang w:val="fr-FR" w:eastAsia="en-CA"/>
              </w:rPr>
            </w:pPr>
            <w:r w:rsidRPr="00C63A39">
              <w:rPr>
                <w:szCs w:val="22"/>
                <w:lang w:val="fr-FR"/>
              </w:rPr>
              <w:t>République dominicaine</w:t>
            </w:r>
          </w:p>
        </w:tc>
        <w:tc>
          <w:tcPr>
            <w:tcW w:w="1540" w:type="dxa"/>
            <w:tcBorders>
              <w:top w:val="nil"/>
              <w:left w:val="nil"/>
              <w:bottom w:val="single" w:sz="4" w:space="0" w:color="auto"/>
              <w:right w:val="single" w:sz="4" w:space="0" w:color="auto"/>
            </w:tcBorders>
            <w:shd w:val="clear" w:color="auto" w:fill="auto"/>
            <w:vAlign w:val="center"/>
            <w:hideMark/>
          </w:tcPr>
          <w:p w14:paraId="4A324708"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0.053 </w:t>
            </w:r>
          </w:p>
        </w:tc>
        <w:tc>
          <w:tcPr>
            <w:tcW w:w="1540" w:type="dxa"/>
            <w:tcBorders>
              <w:top w:val="nil"/>
              <w:left w:val="nil"/>
              <w:bottom w:val="single" w:sz="4" w:space="0" w:color="auto"/>
              <w:right w:val="single" w:sz="4" w:space="0" w:color="auto"/>
            </w:tcBorders>
            <w:shd w:val="clear" w:color="auto" w:fill="auto"/>
            <w:noWrap/>
            <w:vAlign w:val="center"/>
            <w:hideMark/>
          </w:tcPr>
          <w:p w14:paraId="05DBD8F3"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0.076 </w:t>
            </w:r>
          </w:p>
        </w:tc>
        <w:tc>
          <w:tcPr>
            <w:tcW w:w="1540" w:type="dxa"/>
            <w:tcBorders>
              <w:top w:val="nil"/>
              <w:left w:val="nil"/>
              <w:bottom w:val="single" w:sz="4" w:space="0" w:color="auto"/>
              <w:right w:val="single" w:sz="4" w:space="0" w:color="auto"/>
            </w:tcBorders>
            <w:shd w:val="clear" w:color="auto" w:fill="auto"/>
            <w:noWrap/>
            <w:vAlign w:val="center"/>
            <w:hideMark/>
          </w:tcPr>
          <w:p w14:paraId="5E1E89FD"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1,750</w:t>
            </w:r>
          </w:p>
        </w:tc>
      </w:tr>
      <w:tr w:rsidR="0032335C" w:rsidRPr="00C63A39" w14:paraId="54079FD8"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2F37AD94" w14:textId="3B54221F" w:rsidR="0032335C" w:rsidRPr="00C63A39" w:rsidRDefault="0032335C" w:rsidP="0032335C">
            <w:pPr>
              <w:rPr>
                <w:color w:val="000000"/>
                <w:kern w:val="22"/>
                <w:szCs w:val="22"/>
                <w:lang w:val="fr-FR" w:eastAsia="en-CA"/>
              </w:rPr>
            </w:pPr>
            <w:r w:rsidRPr="00C63A39">
              <w:rPr>
                <w:szCs w:val="22"/>
                <w:lang w:val="fr-FR"/>
              </w:rPr>
              <w:t>Équateur</w:t>
            </w:r>
          </w:p>
        </w:tc>
        <w:tc>
          <w:tcPr>
            <w:tcW w:w="1540" w:type="dxa"/>
            <w:tcBorders>
              <w:top w:val="nil"/>
              <w:left w:val="nil"/>
              <w:bottom w:val="single" w:sz="4" w:space="0" w:color="auto"/>
              <w:right w:val="single" w:sz="4" w:space="0" w:color="auto"/>
            </w:tcBorders>
            <w:shd w:val="clear" w:color="auto" w:fill="auto"/>
            <w:vAlign w:val="center"/>
            <w:hideMark/>
          </w:tcPr>
          <w:p w14:paraId="060AC08A"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0.080 </w:t>
            </w:r>
          </w:p>
        </w:tc>
        <w:tc>
          <w:tcPr>
            <w:tcW w:w="1540" w:type="dxa"/>
            <w:tcBorders>
              <w:top w:val="nil"/>
              <w:left w:val="nil"/>
              <w:bottom w:val="single" w:sz="4" w:space="0" w:color="auto"/>
              <w:right w:val="single" w:sz="4" w:space="0" w:color="auto"/>
            </w:tcBorders>
            <w:shd w:val="clear" w:color="auto" w:fill="auto"/>
            <w:noWrap/>
            <w:vAlign w:val="center"/>
            <w:hideMark/>
          </w:tcPr>
          <w:p w14:paraId="65892354"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0.114 </w:t>
            </w:r>
          </w:p>
        </w:tc>
        <w:tc>
          <w:tcPr>
            <w:tcW w:w="1540" w:type="dxa"/>
            <w:tcBorders>
              <w:top w:val="nil"/>
              <w:left w:val="nil"/>
              <w:bottom w:val="single" w:sz="4" w:space="0" w:color="auto"/>
              <w:right w:val="single" w:sz="4" w:space="0" w:color="auto"/>
            </w:tcBorders>
            <w:shd w:val="clear" w:color="auto" w:fill="auto"/>
            <w:noWrap/>
            <w:vAlign w:val="center"/>
            <w:hideMark/>
          </w:tcPr>
          <w:p w14:paraId="591D4C5E"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2,642</w:t>
            </w:r>
          </w:p>
        </w:tc>
      </w:tr>
      <w:tr w:rsidR="0032335C" w:rsidRPr="00C63A39" w14:paraId="07FA7C4F"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438BF850" w14:textId="1A2C4396" w:rsidR="0032335C" w:rsidRPr="00C63A39" w:rsidRDefault="0032335C" w:rsidP="0032335C">
            <w:pPr>
              <w:rPr>
                <w:color w:val="000000"/>
                <w:kern w:val="22"/>
                <w:szCs w:val="22"/>
                <w:lang w:val="fr-FR" w:eastAsia="en-CA"/>
              </w:rPr>
            </w:pPr>
            <w:r w:rsidRPr="00C63A39">
              <w:rPr>
                <w:szCs w:val="22"/>
                <w:lang w:val="fr-FR"/>
              </w:rPr>
              <w:t>Égypte</w:t>
            </w:r>
          </w:p>
        </w:tc>
        <w:tc>
          <w:tcPr>
            <w:tcW w:w="1540" w:type="dxa"/>
            <w:tcBorders>
              <w:top w:val="nil"/>
              <w:left w:val="nil"/>
              <w:bottom w:val="single" w:sz="4" w:space="0" w:color="auto"/>
              <w:right w:val="single" w:sz="4" w:space="0" w:color="auto"/>
            </w:tcBorders>
            <w:shd w:val="clear" w:color="auto" w:fill="auto"/>
            <w:vAlign w:val="center"/>
            <w:hideMark/>
          </w:tcPr>
          <w:p w14:paraId="6BC1DC8B"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0.186 </w:t>
            </w:r>
          </w:p>
        </w:tc>
        <w:tc>
          <w:tcPr>
            <w:tcW w:w="1540" w:type="dxa"/>
            <w:tcBorders>
              <w:top w:val="nil"/>
              <w:left w:val="nil"/>
              <w:bottom w:val="single" w:sz="4" w:space="0" w:color="auto"/>
              <w:right w:val="single" w:sz="4" w:space="0" w:color="auto"/>
            </w:tcBorders>
            <w:shd w:val="clear" w:color="auto" w:fill="auto"/>
            <w:noWrap/>
            <w:vAlign w:val="center"/>
            <w:hideMark/>
          </w:tcPr>
          <w:p w14:paraId="0736A547"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0.266 </w:t>
            </w:r>
          </w:p>
        </w:tc>
        <w:tc>
          <w:tcPr>
            <w:tcW w:w="1540" w:type="dxa"/>
            <w:tcBorders>
              <w:top w:val="nil"/>
              <w:left w:val="nil"/>
              <w:bottom w:val="single" w:sz="4" w:space="0" w:color="auto"/>
              <w:right w:val="single" w:sz="4" w:space="0" w:color="auto"/>
            </w:tcBorders>
            <w:shd w:val="clear" w:color="auto" w:fill="auto"/>
            <w:noWrap/>
            <w:vAlign w:val="center"/>
            <w:hideMark/>
          </w:tcPr>
          <w:p w14:paraId="566F541B"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6,143</w:t>
            </w:r>
          </w:p>
        </w:tc>
      </w:tr>
      <w:tr w:rsidR="0032335C" w:rsidRPr="00C63A39" w14:paraId="0610BF64"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2F7F96C7" w14:textId="6649767D" w:rsidR="0032335C" w:rsidRPr="00C63A39" w:rsidRDefault="0032335C" w:rsidP="0032335C">
            <w:pPr>
              <w:rPr>
                <w:color w:val="000000"/>
                <w:kern w:val="22"/>
                <w:szCs w:val="22"/>
                <w:lang w:val="fr-FR" w:eastAsia="en-CA"/>
              </w:rPr>
            </w:pPr>
            <w:r w:rsidRPr="00C63A39">
              <w:rPr>
                <w:szCs w:val="22"/>
                <w:lang w:val="fr-FR"/>
              </w:rPr>
              <w:t>Le Salvador</w:t>
            </w:r>
          </w:p>
        </w:tc>
        <w:tc>
          <w:tcPr>
            <w:tcW w:w="1540" w:type="dxa"/>
            <w:tcBorders>
              <w:top w:val="nil"/>
              <w:left w:val="nil"/>
              <w:bottom w:val="single" w:sz="4" w:space="0" w:color="auto"/>
              <w:right w:val="single" w:sz="4" w:space="0" w:color="auto"/>
            </w:tcBorders>
            <w:shd w:val="clear" w:color="auto" w:fill="auto"/>
            <w:vAlign w:val="center"/>
            <w:hideMark/>
          </w:tcPr>
          <w:p w14:paraId="4CC80CFC"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0.012 </w:t>
            </w:r>
          </w:p>
        </w:tc>
        <w:tc>
          <w:tcPr>
            <w:tcW w:w="1540" w:type="dxa"/>
            <w:tcBorders>
              <w:top w:val="nil"/>
              <w:left w:val="nil"/>
              <w:bottom w:val="single" w:sz="4" w:space="0" w:color="auto"/>
              <w:right w:val="single" w:sz="4" w:space="0" w:color="auto"/>
            </w:tcBorders>
            <w:shd w:val="clear" w:color="auto" w:fill="auto"/>
            <w:noWrap/>
            <w:vAlign w:val="center"/>
            <w:hideMark/>
          </w:tcPr>
          <w:p w14:paraId="31A6FE55"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0.017 </w:t>
            </w:r>
          </w:p>
        </w:tc>
        <w:tc>
          <w:tcPr>
            <w:tcW w:w="1540" w:type="dxa"/>
            <w:tcBorders>
              <w:top w:val="nil"/>
              <w:left w:val="nil"/>
              <w:bottom w:val="single" w:sz="4" w:space="0" w:color="auto"/>
              <w:right w:val="single" w:sz="4" w:space="0" w:color="auto"/>
            </w:tcBorders>
            <w:shd w:val="clear" w:color="auto" w:fill="auto"/>
            <w:noWrap/>
            <w:vAlign w:val="center"/>
            <w:hideMark/>
          </w:tcPr>
          <w:p w14:paraId="6E77D419"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396</w:t>
            </w:r>
          </w:p>
        </w:tc>
      </w:tr>
      <w:tr w:rsidR="0032335C" w:rsidRPr="00C63A39" w14:paraId="60C39BD2"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4B8B1FFE" w14:textId="3EC649E7" w:rsidR="0032335C" w:rsidRPr="00C63A39" w:rsidRDefault="0032335C" w:rsidP="0032335C">
            <w:pPr>
              <w:rPr>
                <w:color w:val="000000"/>
                <w:kern w:val="22"/>
                <w:szCs w:val="22"/>
                <w:lang w:val="fr-FR" w:eastAsia="en-CA"/>
              </w:rPr>
            </w:pPr>
            <w:r w:rsidRPr="00C63A39">
              <w:rPr>
                <w:szCs w:val="22"/>
                <w:lang w:val="fr-FR"/>
              </w:rPr>
              <w:t>Érythrée</w:t>
            </w:r>
          </w:p>
        </w:tc>
        <w:tc>
          <w:tcPr>
            <w:tcW w:w="1540" w:type="dxa"/>
            <w:tcBorders>
              <w:top w:val="nil"/>
              <w:left w:val="nil"/>
              <w:bottom w:val="single" w:sz="4" w:space="0" w:color="auto"/>
              <w:right w:val="single" w:sz="4" w:space="0" w:color="auto"/>
            </w:tcBorders>
            <w:shd w:val="clear" w:color="auto" w:fill="auto"/>
            <w:vAlign w:val="center"/>
            <w:hideMark/>
          </w:tcPr>
          <w:p w14:paraId="335723BF"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31033360"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62D6AD4F"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33</w:t>
            </w:r>
          </w:p>
        </w:tc>
      </w:tr>
      <w:tr w:rsidR="0032335C" w:rsidRPr="00C63A39" w14:paraId="12A76703"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4B3DA540" w14:textId="283C9777" w:rsidR="0032335C" w:rsidRPr="00C63A39" w:rsidRDefault="0032335C" w:rsidP="0032335C">
            <w:pPr>
              <w:rPr>
                <w:color w:val="000000"/>
                <w:kern w:val="22"/>
                <w:szCs w:val="22"/>
                <w:lang w:val="fr-FR" w:eastAsia="en-CA"/>
              </w:rPr>
            </w:pPr>
            <w:r w:rsidRPr="00C63A39">
              <w:rPr>
                <w:szCs w:val="22"/>
                <w:lang w:val="fr-FR"/>
              </w:rPr>
              <w:t>Estonie</w:t>
            </w:r>
          </w:p>
        </w:tc>
        <w:tc>
          <w:tcPr>
            <w:tcW w:w="1540" w:type="dxa"/>
            <w:tcBorders>
              <w:top w:val="nil"/>
              <w:left w:val="nil"/>
              <w:bottom w:val="single" w:sz="4" w:space="0" w:color="auto"/>
              <w:right w:val="single" w:sz="4" w:space="0" w:color="auto"/>
            </w:tcBorders>
            <w:shd w:val="clear" w:color="auto" w:fill="auto"/>
            <w:vAlign w:val="center"/>
            <w:hideMark/>
          </w:tcPr>
          <w:p w14:paraId="16F9598D"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0.039 </w:t>
            </w:r>
          </w:p>
        </w:tc>
        <w:tc>
          <w:tcPr>
            <w:tcW w:w="1540" w:type="dxa"/>
            <w:tcBorders>
              <w:top w:val="nil"/>
              <w:left w:val="nil"/>
              <w:bottom w:val="single" w:sz="4" w:space="0" w:color="auto"/>
              <w:right w:val="single" w:sz="4" w:space="0" w:color="auto"/>
            </w:tcBorders>
            <w:shd w:val="clear" w:color="auto" w:fill="auto"/>
            <w:noWrap/>
            <w:vAlign w:val="center"/>
            <w:hideMark/>
          </w:tcPr>
          <w:p w14:paraId="76ED2CC4"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0.056 </w:t>
            </w:r>
          </w:p>
        </w:tc>
        <w:tc>
          <w:tcPr>
            <w:tcW w:w="1540" w:type="dxa"/>
            <w:tcBorders>
              <w:top w:val="nil"/>
              <w:left w:val="nil"/>
              <w:bottom w:val="single" w:sz="4" w:space="0" w:color="auto"/>
              <w:right w:val="single" w:sz="4" w:space="0" w:color="auto"/>
            </w:tcBorders>
            <w:shd w:val="clear" w:color="auto" w:fill="auto"/>
            <w:noWrap/>
            <w:vAlign w:val="center"/>
            <w:hideMark/>
          </w:tcPr>
          <w:p w14:paraId="03DB6467"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1,288</w:t>
            </w:r>
          </w:p>
        </w:tc>
      </w:tr>
      <w:tr w:rsidR="0032335C" w:rsidRPr="00C63A39" w14:paraId="1DABCAD8"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3B279C48" w14:textId="7D317DBF" w:rsidR="0032335C" w:rsidRPr="00C63A39" w:rsidRDefault="0032335C" w:rsidP="0032335C">
            <w:pPr>
              <w:rPr>
                <w:color w:val="000000"/>
                <w:kern w:val="22"/>
                <w:szCs w:val="22"/>
                <w:lang w:val="fr-FR" w:eastAsia="en-CA"/>
              </w:rPr>
            </w:pPr>
            <w:r w:rsidRPr="00C63A39">
              <w:rPr>
                <w:szCs w:val="22"/>
                <w:lang w:val="fr-FR"/>
              </w:rPr>
              <w:t>Eswatini</w:t>
            </w:r>
          </w:p>
        </w:tc>
        <w:tc>
          <w:tcPr>
            <w:tcW w:w="1540" w:type="dxa"/>
            <w:tcBorders>
              <w:top w:val="nil"/>
              <w:left w:val="nil"/>
              <w:bottom w:val="single" w:sz="4" w:space="0" w:color="auto"/>
              <w:right w:val="single" w:sz="4" w:space="0" w:color="auto"/>
            </w:tcBorders>
            <w:shd w:val="clear" w:color="auto" w:fill="auto"/>
            <w:vAlign w:val="center"/>
            <w:hideMark/>
          </w:tcPr>
          <w:p w14:paraId="79A346DA"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0.020 </w:t>
            </w:r>
          </w:p>
        </w:tc>
        <w:tc>
          <w:tcPr>
            <w:tcW w:w="1540" w:type="dxa"/>
            <w:tcBorders>
              <w:top w:val="nil"/>
              <w:left w:val="nil"/>
              <w:bottom w:val="single" w:sz="4" w:space="0" w:color="auto"/>
              <w:right w:val="single" w:sz="4" w:space="0" w:color="auto"/>
            </w:tcBorders>
            <w:shd w:val="clear" w:color="auto" w:fill="auto"/>
            <w:noWrap/>
            <w:vAlign w:val="center"/>
            <w:hideMark/>
          </w:tcPr>
          <w:p w14:paraId="07E20B17"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0.029 </w:t>
            </w:r>
          </w:p>
        </w:tc>
        <w:tc>
          <w:tcPr>
            <w:tcW w:w="1540" w:type="dxa"/>
            <w:tcBorders>
              <w:top w:val="nil"/>
              <w:left w:val="nil"/>
              <w:bottom w:val="single" w:sz="4" w:space="0" w:color="auto"/>
              <w:right w:val="single" w:sz="4" w:space="0" w:color="auto"/>
            </w:tcBorders>
            <w:shd w:val="clear" w:color="auto" w:fill="auto"/>
            <w:noWrap/>
            <w:vAlign w:val="center"/>
            <w:hideMark/>
          </w:tcPr>
          <w:p w14:paraId="05D0286F"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660</w:t>
            </w:r>
          </w:p>
        </w:tc>
      </w:tr>
      <w:tr w:rsidR="0032335C" w:rsidRPr="00C63A39" w14:paraId="4DA0B876"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629193DD" w14:textId="3C59F920" w:rsidR="0032335C" w:rsidRPr="00C63A39" w:rsidRDefault="0032335C" w:rsidP="0032335C">
            <w:pPr>
              <w:rPr>
                <w:color w:val="000000"/>
                <w:kern w:val="22"/>
                <w:szCs w:val="22"/>
                <w:lang w:val="fr-FR" w:eastAsia="en-CA"/>
              </w:rPr>
            </w:pPr>
            <w:r w:rsidRPr="00C63A39">
              <w:rPr>
                <w:szCs w:val="22"/>
                <w:lang w:val="fr-FR"/>
              </w:rPr>
              <w:t>Éthiopie</w:t>
            </w:r>
          </w:p>
        </w:tc>
        <w:tc>
          <w:tcPr>
            <w:tcW w:w="1540" w:type="dxa"/>
            <w:tcBorders>
              <w:top w:val="nil"/>
              <w:left w:val="nil"/>
              <w:bottom w:val="single" w:sz="4" w:space="0" w:color="auto"/>
              <w:right w:val="single" w:sz="4" w:space="0" w:color="auto"/>
            </w:tcBorders>
            <w:shd w:val="clear" w:color="auto" w:fill="auto"/>
            <w:vAlign w:val="center"/>
            <w:hideMark/>
          </w:tcPr>
          <w:p w14:paraId="05E2657F"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595C754E"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4B0D05B4"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231</w:t>
            </w:r>
          </w:p>
        </w:tc>
      </w:tr>
      <w:tr w:rsidR="0032335C" w:rsidRPr="00C63A39" w14:paraId="2AA3E471"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29D15A30" w14:textId="22C1B876" w:rsidR="0032335C" w:rsidRPr="00C63A39" w:rsidRDefault="0032335C" w:rsidP="0032335C">
            <w:pPr>
              <w:rPr>
                <w:color w:val="000000"/>
                <w:kern w:val="22"/>
                <w:szCs w:val="22"/>
                <w:lang w:val="fr-FR" w:eastAsia="en-CA"/>
              </w:rPr>
            </w:pPr>
            <w:r w:rsidRPr="00C63A39">
              <w:rPr>
                <w:szCs w:val="22"/>
                <w:lang w:val="fr-FR"/>
              </w:rPr>
              <w:t>Union européenne</w:t>
            </w:r>
          </w:p>
        </w:tc>
        <w:tc>
          <w:tcPr>
            <w:tcW w:w="1540" w:type="dxa"/>
            <w:tcBorders>
              <w:top w:val="nil"/>
              <w:left w:val="nil"/>
              <w:bottom w:val="single" w:sz="4" w:space="0" w:color="auto"/>
              <w:right w:val="single" w:sz="4" w:space="0" w:color="auto"/>
            </w:tcBorders>
            <w:shd w:val="clear" w:color="auto" w:fill="auto"/>
            <w:vAlign w:val="center"/>
            <w:hideMark/>
          </w:tcPr>
          <w:p w14:paraId="5F7DBCAD" w14:textId="77777777" w:rsidR="0032335C" w:rsidRPr="00C63A39" w:rsidRDefault="0032335C" w:rsidP="0032335C">
            <w:pPr>
              <w:rPr>
                <w:color w:val="000000"/>
                <w:kern w:val="22"/>
                <w:szCs w:val="22"/>
                <w:lang w:val="fr-FR" w:eastAsia="en-CA"/>
              </w:rPr>
            </w:pPr>
            <w:r w:rsidRPr="00C63A39">
              <w:rPr>
                <w:color w:val="000000"/>
                <w:kern w:val="22"/>
                <w:szCs w:val="22"/>
                <w:lang w:val="fr-FR" w:eastAsia="en-CA"/>
              </w:rPr>
              <w:t> </w:t>
            </w:r>
          </w:p>
        </w:tc>
        <w:tc>
          <w:tcPr>
            <w:tcW w:w="1540" w:type="dxa"/>
            <w:tcBorders>
              <w:top w:val="nil"/>
              <w:left w:val="nil"/>
              <w:bottom w:val="single" w:sz="4" w:space="0" w:color="auto"/>
              <w:right w:val="single" w:sz="4" w:space="0" w:color="auto"/>
            </w:tcBorders>
            <w:shd w:val="clear" w:color="auto" w:fill="auto"/>
            <w:noWrap/>
            <w:vAlign w:val="center"/>
            <w:hideMark/>
          </w:tcPr>
          <w:p w14:paraId="75BC1F7F"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2.500 </w:t>
            </w:r>
          </w:p>
        </w:tc>
        <w:tc>
          <w:tcPr>
            <w:tcW w:w="1540" w:type="dxa"/>
            <w:tcBorders>
              <w:top w:val="nil"/>
              <w:left w:val="nil"/>
              <w:bottom w:val="single" w:sz="4" w:space="0" w:color="auto"/>
              <w:right w:val="single" w:sz="4" w:space="0" w:color="auto"/>
            </w:tcBorders>
            <w:shd w:val="clear" w:color="auto" w:fill="auto"/>
            <w:noWrap/>
            <w:vAlign w:val="center"/>
            <w:hideMark/>
          </w:tcPr>
          <w:p w14:paraId="4D11457F"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57,783</w:t>
            </w:r>
          </w:p>
        </w:tc>
      </w:tr>
      <w:tr w:rsidR="0032335C" w:rsidRPr="00C63A39" w14:paraId="6E4A145C"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6C7F8B94" w14:textId="0FC64674" w:rsidR="0032335C" w:rsidRPr="00C63A39" w:rsidRDefault="0032335C" w:rsidP="0032335C">
            <w:pPr>
              <w:rPr>
                <w:color w:val="000000"/>
                <w:kern w:val="22"/>
                <w:szCs w:val="22"/>
                <w:lang w:val="fr-FR" w:eastAsia="en-CA"/>
              </w:rPr>
            </w:pPr>
            <w:r w:rsidRPr="00C63A39">
              <w:rPr>
                <w:szCs w:val="22"/>
                <w:lang w:val="fr-FR"/>
              </w:rPr>
              <w:t>Fidji</w:t>
            </w:r>
          </w:p>
        </w:tc>
        <w:tc>
          <w:tcPr>
            <w:tcW w:w="1540" w:type="dxa"/>
            <w:tcBorders>
              <w:top w:val="nil"/>
              <w:left w:val="nil"/>
              <w:bottom w:val="single" w:sz="4" w:space="0" w:color="auto"/>
              <w:right w:val="single" w:sz="4" w:space="0" w:color="auto"/>
            </w:tcBorders>
            <w:shd w:val="clear" w:color="auto" w:fill="auto"/>
            <w:vAlign w:val="center"/>
            <w:hideMark/>
          </w:tcPr>
          <w:p w14:paraId="741AA65F"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3D6D8339"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2D4FED29"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99</w:t>
            </w:r>
          </w:p>
        </w:tc>
      </w:tr>
      <w:tr w:rsidR="0032335C" w:rsidRPr="00C63A39" w14:paraId="087C8B78"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2AFBFECA" w14:textId="6AB91400" w:rsidR="0032335C" w:rsidRPr="00C63A39" w:rsidRDefault="0032335C" w:rsidP="0032335C">
            <w:pPr>
              <w:rPr>
                <w:color w:val="000000"/>
                <w:kern w:val="22"/>
                <w:szCs w:val="22"/>
                <w:lang w:val="fr-FR" w:eastAsia="en-CA"/>
              </w:rPr>
            </w:pPr>
            <w:r w:rsidRPr="00C63A39">
              <w:rPr>
                <w:szCs w:val="22"/>
                <w:lang w:val="fr-FR"/>
              </w:rPr>
              <w:t>Finlande</w:t>
            </w:r>
          </w:p>
        </w:tc>
        <w:tc>
          <w:tcPr>
            <w:tcW w:w="1540" w:type="dxa"/>
            <w:tcBorders>
              <w:top w:val="nil"/>
              <w:left w:val="nil"/>
              <w:bottom w:val="single" w:sz="4" w:space="0" w:color="auto"/>
              <w:right w:val="single" w:sz="4" w:space="0" w:color="auto"/>
            </w:tcBorders>
            <w:shd w:val="clear" w:color="auto" w:fill="auto"/>
            <w:vAlign w:val="center"/>
            <w:hideMark/>
          </w:tcPr>
          <w:p w14:paraId="206A5E7B"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0.421 </w:t>
            </w:r>
          </w:p>
        </w:tc>
        <w:tc>
          <w:tcPr>
            <w:tcW w:w="1540" w:type="dxa"/>
            <w:tcBorders>
              <w:top w:val="nil"/>
              <w:left w:val="nil"/>
              <w:bottom w:val="single" w:sz="4" w:space="0" w:color="auto"/>
              <w:right w:val="single" w:sz="4" w:space="0" w:color="auto"/>
            </w:tcBorders>
            <w:shd w:val="clear" w:color="auto" w:fill="auto"/>
            <w:noWrap/>
            <w:vAlign w:val="center"/>
            <w:hideMark/>
          </w:tcPr>
          <w:p w14:paraId="2BB75905"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0.602 </w:t>
            </w:r>
          </w:p>
        </w:tc>
        <w:tc>
          <w:tcPr>
            <w:tcW w:w="1540" w:type="dxa"/>
            <w:tcBorders>
              <w:top w:val="nil"/>
              <w:left w:val="nil"/>
              <w:bottom w:val="single" w:sz="4" w:space="0" w:color="auto"/>
              <w:right w:val="single" w:sz="4" w:space="0" w:color="auto"/>
            </w:tcBorders>
            <w:shd w:val="clear" w:color="auto" w:fill="auto"/>
            <w:noWrap/>
            <w:vAlign w:val="center"/>
            <w:hideMark/>
          </w:tcPr>
          <w:p w14:paraId="33DEE178"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13,903</w:t>
            </w:r>
          </w:p>
        </w:tc>
      </w:tr>
      <w:tr w:rsidR="0032335C" w:rsidRPr="00C63A39" w14:paraId="1D84BB78"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2CFF2A06" w14:textId="33AF40EE" w:rsidR="0032335C" w:rsidRPr="00C63A39" w:rsidRDefault="0032335C" w:rsidP="0032335C">
            <w:pPr>
              <w:rPr>
                <w:color w:val="000000"/>
                <w:kern w:val="22"/>
                <w:szCs w:val="22"/>
                <w:lang w:val="fr-FR" w:eastAsia="en-CA"/>
              </w:rPr>
            </w:pPr>
            <w:r w:rsidRPr="00C63A39">
              <w:rPr>
                <w:szCs w:val="22"/>
                <w:lang w:val="fr-FR"/>
              </w:rPr>
              <w:t>France</w:t>
            </w:r>
          </w:p>
        </w:tc>
        <w:tc>
          <w:tcPr>
            <w:tcW w:w="1540" w:type="dxa"/>
            <w:tcBorders>
              <w:top w:val="nil"/>
              <w:left w:val="nil"/>
              <w:bottom w:val="single" w:sz="4" w:space="0" w:color="auto"/>
              <w:right w:val="single" w:sz="4" w:space="0" w:color="auto"/>
            </w:tcBorders>
            <w:shd w:val="clear" w:color="auto" w:fill="auto"/>
            <w:vAlign w:val="center"/>
            <w:hideMark/>
          </w:tcPr>
          <w:p w14:paraId="53FC0132"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4.427 </w:t>
            </w:r>
          </w:p>
        </w:tc>
        <w:tc>
          <w:tcPr>
            <w:tcW w:w="1540" w:type="dxa"/>
            <w:tcBorders>
              <w:top w:val="nil"/>
              <w:left w:val="nil"/>
              <w:bottom w:val="single" w:sz="4" w:space="0" w:color="auto"/>
              <w:right w:val="single" w:sz="4" w:space="0" w:color="auto"/>
            </w:tcBorders>
            <w:shd w:val="clear" w:color="auto" w:fill="auto"/>
            <w:noWrap/>
            <w:vAlign w:val="center"/>
            <w:hideMark/>
          </w:tcPr>
          <w:p w14:paraId="05C6ACEA"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6.325 </w:t>
            </w:r>
          </w:p>
        </w:tc>
        <w:tc>
          <w:tcPr>
            <w:tcW w:w="1540" w:type="dxa"/>
            <w:tcBorders>
              <w:top w:val="nil"/>
              <w:left w:val="nil"/>
              <w:bottom w:val="single" w:sz="4" w:space="0" w:color="auto"/>
              <w:right w:val="single" w:sz="4" w:space="0" w:color="auto"/>
            </w:tcBorders>
            <w:shd w:val="clear" w:color="auto" w:fill="auto"/>
            <w:noWrap/>
            <w:vAlign w:val="center"/>
            <w:hideMark/>
          </w:tcPr>
          <w:p w14:paraId="31E44701"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146,199</w:t>
            </w:r>
          </w:p>
        </w:tc>
      </w:tr>
    </w:tbl>
    <w:p w14:paraId="39973B0D" w14:textId="77777777" w:rsidR="00315701" w:rsidRPr="00C63A39" w:rsidRDefault="00315701" w:rsidP="0079737F">
      <w:pPr>
        <w:spacing w:after="160" w:line="259" w:lineRule="auto"/>
        <w:rPr>
          <w:rFonts w:eastAsiaTheme="minorEastAsia"/>
          <w:bCs/>
          <w:kern w:val="22"/>
          <w:szCs w:val="22"/>
          <w:lang w:val="fr-FR"/>
        </w:rPr>
      </w:pPr>
    </w:p>
    <w:p w14:paraId="015F90EB" w14:textId="77777777" w:rsidR="00315701" w:rsidRPr="00C63A39" w:rsidRDefault="00315701">
      <w:pPr>
        <w:spacing w:after="160" w:line="259" w:lineRule="auto"/>
        <w:rPr>
          <w:rFonts w:eastAsiaTheme="minorEastAsia"/>
          <w:bCs/>
          <w:kern w:val="22"/>
          <w:szCs w:val="22"/>
          <w:lang w:val="fr-FR"/>
        </w:rPr>
      </w:pPr>
      <w:r w:rsidRPr="00C63A39">
        <w:rPr>
          <w:rFonts w:eastAsiaTheme="minorEastAsia"/>
          <w:bCs/>
          <w:kern w:val="22"/>
          <w:szCs w:val="22"/>
          <w:lang w:val="fr-FR"/>
        </w:rPr>
        <w:br w:type="page"/>
      </w:r>
    </w:p>
    <w:tbl>
      <w:tblPr>
        <w:tblW w:w="9420" w:type="dxa"/>
        <w:tblLook w:val="04A0" w:firstRow="1" w:lastRow="0" w:firstColumn="1" w:lastColumn="0" w:noHBand="0" w:noVBand="1"/>
      </w:tblPr>
      <w:tblGrid>
        <w:gridCol w:w="4800"/>
        <w:gridCol w:w="1540"/>
        <w:gridCol w:w="1540"/>
        <w:gridCol w:w="1540"/>
      </w:tblGrid>
      <w:tr w:rsidR="005F7E95" w:rsidRPr="00C63A39" w14:paraId="2D44B059" w14:textId="77777777" w:rsidTr="001F110D">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DCD7CA" w14:textId="5E4402CA" w:rsidR="005F7E95" w:rsidRPr="00C63A39" w:rsidRDefault="005F7E95" w:rsidP="005F7E95">
            <w:pPr>
              <w:jc w:val="center"/>
              <w:rPr>
                <w:b/>
                <w:bCs/>
                <w:kern w:val="22"/>
                <w:szCs w:val="22"/>
                <w:lang w:val="fr-FR" w:eastAsia="en-CA"/>
              </w:rPr>
            </w:pPr>
            <w:r w:rsidRPr="00C63A39">
              <w:rPr>
                <w:b/>
                <w:bCs/>
                <w:kern w:val="22"/>
                <w:szCs w:val="22"/>
                <w:lang w:val="fr-FR" w:eastAsia="en-CA"/>
              </w:rPr>
              <w:lastRenderedPageBreak/>
              <w:t>Partie</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3F4F696D" w14:textId="17A94C57" w:rsidR="005F7E95" w:rsidRPr="00C63A39" w:rsidRDefault="005F7E95" w:rsidP="005F7E95">
            <w:pPr>
              <w:jc w:val="center"/>
              <w:rPr>
                <w:b/>
                <w:bCs/>
                <w:color w:val="000000"/>
                <w:kern w:val="22"/>
                <w:szCs w:val="22"/>
                <w:lang w:val="fr-FR" w:eastAsia="en-CA"/>
              </w:rPr>
            </w:pPr>
            <w:r w:rsidRPr="00C63A39">
              <w:rPr>
                <w:b/>
                <w:bCs/>
                <w:color w:val="000000"/>
                <w:kern w:val="22"/>
                <w:szCs w:val="22"/>
                <w:lang w:val="fr-FR" w:eastAsia="en-CA"/>
              </w:rPr>
              <w:t xml:space="preserve">Barème des quotes-parts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648C5CFA" w14:textId="095B197F" w:rsidR="005F7E95" w:rsidRPr="00C63A39" w:rsidRDefault="005F7E95" w:rsidP="005F7E95">
            <w:pPr>
              <w:jc w:val="center"/>
              <w:rPr>
                <w:b/>
                <w:bCs/>
                <w:color w:val="000000"/>
                <w:kern w:val="22"/>
                <w:szCs w:val="22"/>
                <w:lang w:val="fr-FR" w:eastAsia="en-CA"/>
              </w:rPr>
            </w:pPr>
            <w:r w:rsidRPr="00C63A39">
              <w:rPr>
                <w:b/>
                <w:bCs/>
                <w:color w:val="000000"/>
                <w:kern w:val="22"/>
                <w:szCs w:val="22"/>
                <w:lang w:val="fr-FR" w:eastAsia="en-CA"/>
              </w:rPr>
              <w:t>Barème assorti d’un plafond de 22% ; aucun PMA ne paie plus de 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77D7CF9D" w14:textId="74548B1A" w:rsidR="005F7E95" w:rsidRPr="00C63A39" w:rsidRDefault="005F7E95" w:rsidP="005F7E95">
            <w:pPr>
              <w:jc w:val="center"/>
              <w:rPr>
                <w:b/>
                <w:bCs/>
                <w:color w:val="000000"/>
                <w:kern w:val="22"/>
                <w:szCs w:val="22"/>
                <w:lang w:val="fr-FR" w:eastAsia="en-CA"/>
              </w:rPr>
            </w:pPr>
            <w:r w:rsidRPr="00C63A39">
              <w:rPr>
                <w:b/>
                <w:bCs/>
                <w:color w:val="000000"/>
                <w:kern w:val="22"/>
                <w:szCs w:val="22"/>
                <w:lang w:val="fr-FR" w:eastAsia="en-CA"/>
              </w:rPr>
              <w:t>Contributions au 1er janvier 2020</w:t>
            </w:r>
          </w:p>
        </w:tc>
      </w:tr>
      <w:tr w:rsidR="0032335C" w:rsidRPr="00C63A39" w14:paraId="031D8334"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3F2E18FA" w14:textId="65582669" w:rsidR="0032335C" w:rsidRPr="00C63A39" w:rsidRDefault="0032335C" w:rsidP="0032335C">
            <w:pPr>
              <w:rPr>
                <w:color w:val="000000"/>
                <w:kern w:val="22"/>
                <w:szCs w:val="22"/>
                <w:lang w:val="fr-FR" w:eastAsia="en-CA"/>
              </w:rPr>
            </w:pPr>
            <w:r w:rsidRPr="00C63A39">
              <w:rPr>
                <w:szCs w:val="22"/>
                <w:lang w:val="fr-FR"/>
              </w:rPr>
              <w:t>Gabon</w:t>
            </w:r>
          </w:p>
        </w:tc>
        <w:tc>
          <w:tcPr>
            <w:tcW w:w="1540" w:type="dxa"/>
            <w:tcBorders>
              <w:top w:val="nil"/>
              <w:left w:val="nil"/>
              <w:bottom w:val="single" w:sz="4" w:space="0" w:color="auto"/>
              <w:right w:val="single" w:sz="4" w:space="0" w:color="auto"/>
            </w:tcBorders>
            <w:shd w:val="clear" w:color="auto" w:fill="auto"/>
            <w:vAlign w:val="center"/>
            <w:hideMark/>
          </w:tcPr>
          <w:p w14:paraId="66811612"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0.015 </w:t>
            </w:r>
          </w:p>
        </w:tc>
        <w:tc>
          <w:tcPr>
            <w:tcW w:w="1540" w:type="dxa"/>
            <w:tcBorders>
              <w:top w:val="nil"/>
              <w:left w:val="nil"/>
              <w:bottom w:val="single" w:sz="4" w:space="0" w:color="auto"/>
              <w:right w:val="single" w:sz="4" w:space="0" w:color="auto"/>
            </w:tcBorders>
            <w:shd w:val="clear" w:color="auto" w:fill="auto"/>
            <w:noWrap/>
            <w:vAlign w:val="center"/>
            <w:hideMark/>
          </w:tcPr>
          <w:p w14:paraId="013895EC"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0.021 </w:t>
            </w:r>
          </w:p>
        </w:tc>
        <w:tc>
          <w:tcPr>
            <w:tcW w:w="1540" w:type="dxa"/>
            <w:tcBorders>
              <w:top w:val="nil"/>
              <w:left w:val="nil"/>
              <w:bottom w:val="single" w:sz="4" w:space="0" w:color="auto"/>
              <w:right w:val="single" w:sz="4" w:space="0" w:color="auto"/>
            </w:tcBorders>
            <w:shd w:val="clear" w:color="auto" w:fill="auto"/>
            <w:noWrap/>
            <w:vAlign w:val="center"/>
            <w:hideMark/>
          </w:tcPr>
          <w:p w14:paraId="72DC28FE"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495</w:t>
            </w:r>
          </w:p>
        </w:tc>
      </w:tr>
      <w:tr w:rsidR="0032335C" w:rsidRPr="00C63A39" w14:paraId="090E9EE5"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1E3F0256" w14:textId="35802EFE" w:rsidR="0032335C" w:rsidRPr="00C63A39" w:rsidRDefault="0032335C" w:rsidP="0032335C">
            <w:pPr>
              <w:rPr>
                <w:color w:val="000000"/>
                <w:kern w:val="22"/>
                <w:szCs w:val="22"/>
                <w:lang w:val="fr-FR" w:eastAsia="en-CA"/>
              </w:rPr>
            </w:pPr>
            <w:r w:rsidRPr="00C63A39">
              <w:rPr>
                <w:szCs w:val="22"/>
                <w:lang w:val="fr-FR"/>
              </w:rPr>
              <w:t>Gambie</w:t>
            </w:r>
          </w:p>
        </w:tc>
        <w:tc>
          <w:tcPr>
            <w:tcW w:w="1540" w:type="dxa"/>
            <w:tcBorders>
              <w:top w:val="nil"/>
              <w:left w:val="nil"/>
              <w:bottom w:val="single" w:sz="4" w:space="0" w:color="auto"/>
              <w:right w:val="single" w:sz="4" w:space="0" w:color="auto"/>
            </w:tcBorders>
            <w:shd w:val="clear" w:color="auto" w:fill="auto"/>
            <w:vAlign w:val="center"/>
            <w:hideMark/>
          </w:tcPr>
          <w:p w14:paraId="724969AB"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0567C075"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784EFB61"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33</w:t>
            </w:r>
          </w:p>
        </w:tc>
      </w:tr>
      <w:tr w:rsidR="0032335C" w:rsidRPr="00C63A39" w14:paraId="3A484143"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10F264FA" w14:textId="7F3CF459" w:rsidR="0032335C" w:rsidRPr="00C63A39" w:rsidRDefault="0032335C" w:rsidP="0032335C">
            <w:pPr>
              <w:rPr>
                <w:color w:val="000000"/>
                <w:kern w:val="22"/>
                <w:szCs w:val="22"/>
                <w:lang w:val="fr-FR" w:eastAsia="en-CA"/>
              </w:rPr>
            </w:pPr>
            <w:r w:rsidRPr="00C63A39">
              <w:rPr>
                <w:szCs w:val="22"/>
                <w:lang w:val="fr-FR"/>
              </w:rPr>
              <w:t>Géorgie</w:t>
            </w:r>
          </w:p>
        </w:tc>
        <w:tc>
          <w:tcPr>
            <w:tcW w:w="1540" w:type="dxa"/>
            <w:tcBorders>
              <w:top w:val="nil"/>
              <w:left w:val="nil"/>
              <w:bottom w:val="single" w:sz="4" w:space="0" w:color="auto"/>
              <w:right w:val="single" w:sz="4" w:space="0" w:color="auto"/>
            </w:tcBorders>
            <w:shd w:val="clear" w:color="auto" w:fill="auto"/>
            <w:vAlign w:val="center"/>
            <w:hideMark/>
          </w:tcPr>
          <w:p w14:paraId="3E187D9F"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0.008 </w:t>
            </w:r>
          </w:p>
        </w:tc>
        <w:tc>
          <w:tcPr>
            <w:tcW w:w="1540" w:type="dxa"/>
            <w:tcBorders>
              <w:top w:val="nil"/>
              <w:left w:val="nil"/>
              <w:bottom w:val="single" w:sz="4" w:space="0" w:color="auto"/>
              <w:right w:val="single" w:sz="4" w:space="0" w:color="auto"/>
            </w:tcBorders>
            <w:shd w:val="clear" w:color="auto" w:fill="auto"/>
            <w:noWrap/>
            <w:vAlign w:val="center"/>
            <w:hideMark/>
          </w:tcPr>
          <w:p w14:paraId="4C981C72"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0.011 </w:t>
            </w:r>
          </w:p>
        </w:tc>
        <w:tc>
          <w:tcPr>
            <w:tcW w:w="1540" w:type="dxa"/>
            <w:tcBorders>
              <w:top w:val="nil"/>
              <w:left w:val="nil"/>
              <w:bottom w:val="single" w:sz="4" w:space="0" w:color="auto"/>
              <w:right w:val="single" w:sz="4" w:space="0" w:color="auto"/>
            </w:tcBorders>
            <w:shd w:val="clear" w:color="auto" w:fill="auto"/>
            <w:noWrap/>
            <w:vAlign w:val="center"/>
            <w:hideMark/>
          </w:tcPr>
          <w:p w14:paraId="02881989"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264</w:t>
            </w:r>
          </w:p>
        </w:tc>
      </w:tr>
      <w:tr w:rsidR="0032335C" w:rsidRPr="00C63A39" w14:paraId="5D6BF83F"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00FC6C6E" w14:textId="4D73A297" w:rsidR="0032335C" w:rsidRPr="00C63A39" w:rsidRDefault="0032335C" w:rsidP="0032335C">
            <w:pPr>
              <w:rPr>
                <w:color w:val="000000"/>
                <w:kern w:val="22"/>
                <w:szCs w:val="22"/>
                <w:lang w:val="fr-FR" w:eastAsia="en-CA"/>
              </w:rPr>
            </w:pPr>
            <w:r w:rsidRPr="00C63A39">
              <w:rPr>
                <w:szCs w:val="22"/>
                <w:lang w:val="fr-FR"/>
              </w:rPr>
              <w:t>Allemagne</w:t>
            </w:r>
          </w:p>
        </w:tc>
        <w:tc>
          <w:tcPr>
            <w:tcW w:w="1540" w:type="dxa"/>
            <w:tcBorders>
              <w:top w:val="nil"/>
              <w:left w:val="nil"/>
              <w:bottom w:val="single" w:sz="4" w:space="0" w:color="auto"/>
              <w:right w:val="single" w:sz="4" w:space="0" w:color="auto"/>
            </w:tcBorders>
            <w:shd w:val="clear" w:color="auto" w:fill="auto"/>
            <w:vAlign w:val="center"/>
            <w:hideMark/>
          </w:tcPr>
          <w:p w14:paraId="6ED86E35"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6.090 </w:t>
            </w:r>
          </w:p>
        </w:tc>
        <w:tc>
          <w:tcPr>
            <w:tcW w:w="1540" w:type="dxa"/>
            <w:tcBorders>
              <w:top w:val="nil"/>
              <w:left w:val="nil"/>
              <w:bottom w:val="single" w:sz="4" w:space="0" w:color="auto"/>
              <w:right w:val="single" w:sz="4" w:space="0" w:color="auto"/>
            </w:tcBorders>
            <w:shd w:val="clear" w:color="auto" w:fill="auto"/>
            <w:noWrap/>
            <w:vAlign w:val="center"/>
            <w:hideMark/>
          </w:tcPr>
          <w:p w14:paraId="0008D494"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8.702 </w:t>
            </w:r>
          </w:p>
        </w:tc>
        <w:tc>
          <w:tcPr>
            <w:tcW w:w="1540" w:type="dxa"/>
            <w:tcBorders>
              <w:top w:val="nil"/>
              <w:left w:val="nil"/>
              <w:bottom w:val="single" w:sz="4" w:space="0" w:color="auto"/>
              <w:right w:val="single" w:sz="4" w:space="0" w:color="auto"/>
            </w:tcBorders>
            <w:shd w:val="clear" w:color="auto" w:fill="auto"/>
            <w:noWrap/>
            <w:vAlign w:val="center"/>
            <w:hideMark/>
          </w:tcPr>
          <w:p w14:paraId="6DCFF161"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201,118</w:t>
            </w:r>
          </w:p>
        </w:tc>
      </w:tr>
      <w:tr w:rsidR="0032335C" w:rsidRPr="00C63A39" w14:paraId="77553037"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121F60A2" w14:textId="48CA13FB" w:rsidR="0032335C" w:rsidRPr="00C63A39" w:rsidRDefault="0032335C" w:rsidP="0032335C">
            <w:pPr>
              <w:rPr>
                <w:color w:val="000000"/>
                <w:kern w:val="22"/>
                <w:szCs w:val="22"/>
                <w:lang w:val="fr-FR" w:eastAsia="en-CA"/>
              </w:rPr>
            </w:pPr>
            <w:r w:rsidRPr="00C63A39">
              <w:rPr>
                <w:szCs w:val="22"/>
                <w:lang w:val="fr-FR"/>
              </w:rPr>
              <w:t>Ghana</w:t>
            </w:r>
          </w:p>
        </w:tc>
        <w:tc>
          <w:tcPr>
            <w:tcW w:w="1540" w:type="dxa"/>
            <w:tcBorders>
              <w:top w:val="nil"/>
              <w:left w:val="nil"/>
              <w:bottom w:val="single" w:sz="4" w:space="0" w:color="auto"/>
              <w:right w:val="single" w:sz="4" w:space="0" w:color="auto"/>
            </w:tcBorders>
            <w:shd w:val="clear" w:color="auto" w:fill="auto"/>
            <w:vAlign w:val="center"/>
            <w:hideMark/>
          </w:tcPr>
          <w:p w14:paraId="58CACEDD"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0.015 </w:t>
            </w:r>
          </w:p>
        </w:tc>
        <w:tc>
          <w:tcPr>
            <w:tcW w:w="1540" w:type="dxa"/>
            <w:tcBorders>
              <w:top w:val="nil"/>
              <w:left w:val="nil"/>
              <w:bottom w:val="single" w:sz="4" w:space="0" w:color="auto"/>
              <w:right w:val="single" w:sz="4" w:space="0" w:color="auto"/>
            </w:tcBorders>
            <w:shd w:val="clear" w:color="auto" w:fill="auto"/>
            <w:noWrap/>
            <w:vAlign w:val="center"/>
            <w:hideMark/>
          </w:tcPr>
          <w:p w14:paraId="776ECDF9"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0.021 </w:t>
            </w:r>
          </w:p>
        </w:tc>
        <w:tc>
          <w:tcPr>
            <w:tcW w:w="1540" w:type="dxa"/>
            <w:tcBorders>
              <w:top w:val="nil"/>
              <w:left w:val="nil"/>
              <w:bottom w:val="single" w:sz="4" w:space="0" w:color="auto"/>
              <w:right w:val="single" w:sz="4" w:space="0" w:color="auto"/>
            </w:tcBorders>
            <w:shd w:val="clear" w:color="auto" w:fill="auto"/>
            <w:noWrap/>
            <w:vAlign w:val="center"/>
            <w:hideMark/>
          </w:tcPr>
          <w:p w14:paraId="70E0B38E"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495</w:t>
            </w:r>
          </w:p>
        </w:tc>
      </w:tr>
      <w:tr w:rsidR="0032335C" w:rsidRPr="00C63A39" w14:paraId="7B76837F"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1A27A1E6" w14:textId="7E1BB995" w:rsidR="0032335C" w:rsidRPr="00C63A39" w:rsidRDefault="0032335C" w:rsidP="0032335C">
            <w:pPr>
              <w:rPr>
                <w:color w:val="000000"/>
                <w:kern w:val="22"/>
                <w:szCs w:val="22"/>
                <w:lang w:val="fr-FR" w:eastAsia="en-CA"/>
              </w:rPr>
            </w:pPr>
            <w:r w:rsidRPr="00C63A39">
              <w:rPr>
                <w:szCs w:val="22"/>
                <w:lang w:val="fr-FR"/>
              </w:rPr>
              <w:t>Grèce</w:t>
            </w:r>
          </w:p>
        </w:tc>
        <w:tc>
          <w:tcPr>
            <w:tcW w:w="1540" w:type="dxa"/>
            <w:tcBorders>
              <w:top w:val="nil"/>
              <w:left w:val="nil"/>
              <w:bottom w:val="single" w:sz="4" w:space="0" w:color="auto"/>
              <w:right w:val="single" w:sz="4" w:space="0" w:color="auto"/>
            </w:tcBorders>
            <w:shd w:val="clear" w:color="auto" w:fill="auto"/>
            <w:vAlign w:val="center"/>
            <w:hideMark/>
          </w:tcPr>
          <w:p w14:paraId="7D7AA807"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0.366 </w:t>
            </w:r>
          </w:p>
        </w:tc>
        <w:tc>
          <w:tcPr>
            <w:tcW w:w="1540" w:type="dxa"/>
            <w:tcBorders>
              <w:top w:val="nil"/>
              <w:left w:val="nil"/>
              <w:bottom w:val="single" w:sz="4" w:space="0" w:color="auto"/>
              <w:right w:val="single" w:sz="4" w:space="0" w:color="auto"/>
            </w:tcBorders>
            <w:shd w:val="clear" w:color="auto" w:fill="auto"/>
            <w:noWrap/>
            <w:vAlign w:val="center"/>
            <w:hideMark/>
          </w:tcPr>
          <w:p w14:paraId="658D0C93"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0.523 </w:t>
            </w:r>
          </w:p>
        </w:tc>
        <w:tc>
          <w:tcPr>
            <w:tcW w:w="1540" w:type="dxa"/>
            <w:tcBorders>
              <w:top w:val="nil"/>
              <w:left w:val="nil"/>
              <w:bottom w:val="single" w:sz="4" w:space="0" w:color="auto"/>
              <w:right w:val="single" w:sz="4" w:space="0" w:color="auto"/>
            </w:tcBorders>
            <w:shd w:val="clear" w:color="auto" w:fill="auto"/>
            <w:noWrap/>
            <w:vAlign w:val="center"/>
            <w:hideMark/>
          </w:tcPr>
          <w:p w14:paraId="6F28634D"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12,087</w:t>
            </w:r>
          </w:p>
        </w:tc>
      </w:tr>
      <w:tr w:rsidR="0032335C" w:rsidRPr="00C63A39" w14:paraId="3F74B0B5"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0C9F892A" w14:textId="348D188F" w:rsidR="0032335C" w:rsidRPr="00C63A39" w:rsidRDefault="0032335C" w:rsidP="0032335C">
            <w:pPr>
              <w:rPr>
                <w:color w:val="000000"/>
                <w:kern w:val="22"/>
                <w:szCs w:val="22"/>
                <w:lang w:val="fr-FR" w:eastAsia="en-CA"/>
              </w:rPr>
            </w:pPr>
            <w:r w:rsidRPr="00C63A39">
              <w:rPr>
                <w:szCs w:val="22"/>
                <w:lang w:val="fr-FR"/>
              </w:rPr>
              <w:t>Grenade</w:t>
            </w:r>
          </w:p>
        </w:tc>
        <w:tc>
          <w:tcPr>
            <w:tcW w:w="1540" w:type="dxa"/>
            <w:tcBorders>
              <w:top w:val="nil"/>
              <w:left w:val="nil"/>
              <w:bottom w:val="single" w:sz="4" w:space="0" w:color="auto"/>
              <w:right w:val="single" w:sz="4" w:space="0" w:color="auto"/>
            </w:tcBorders>
            <w:shd w:val="clear" w:color="auto" w:fill="auto"/>
            <w:vAlign w:val="center"/>
            <w:hideMark/>
          </w:tcPr>
          <w:p w14:paraId="5F5DC4A2"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2B4D536B"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5085FE2C"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33</w:t>
            </w:r>
          </w:p>
        </w:tc>
      </w:tr>
      <w:tr w:rsidR="0032335C" w:rsidRPr="00C63A39" w14:paraId="566D172A"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7AABD79B" w14:textId="6277DC40" w:rsidR="0032335C" w:rsidRPr="00C63A39" w:rsidRDefault="0032335C" w:rsidP="0032335C">
            <w:pPr>
              <w:rPr>
                <w:color w:val="000000"/>
                <w:kern w:val="22"/>
                <w:szCs w:val="22"/>
                <w:lang w:val="fr-FR" w:eastAsia="en-CA"/>
              </w:rPr>
            </w:pPr>
            <w:r w:rsidRPr="00C63A39">
              <w:rPr>
                <w:szCs w:val="22"/>
                <w:lang w:val="fr-FR"/>
              </w:rPr>
              <w:t>Guatemala</w:t>
            </w:r>
          </w:p>
        </w:tc>
        <w:tc>
          <w:tcPr>
            <w:tcW w:w="1540" w:type="dxa"/>
            <w:tcBorders>
              <w:top w:val="nil"/>
              <w:left w:val="nil"/>
              <w:bottom w:val="single" w:sz="4" w:space="0" w:color="auto"/>
              <w:right w:val="single" w:sz="4" w:space="0" w:color="auto"/>
            </w:tcBorders>
            <w:shd w:val="clear" w:color="auto" w:fill="auto"/>
            <w:vAlign w:val="center"/>
            <w:hideMark/>
          </w:tcPr>
          <w:p w14:paraId="2D7B5CEE"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0.036 </w:t>
            </w:r>
          </w:p>
        </w:tc>
        <w:tc>
          <w:tcPr>
            <w:tcW w:w="1540" w:type="dxa"/>
            <w:tcBorders>
              <w:top w:val="nil"/>
              <w:left w:val="nil"/>
              <w:bottom w:val="single" w:sz="4" w:space="0" w:color="auto"/>
              <w:right w:val="single" w:sz="4" w:space="0" w:color="auto"/>
            </w:tcBorders>
            <w:shd w:val="clear" w:color="auto" w:fill="auto"/>
            <w:noWrap/>
            <w:vAlign w:val="center"/>
            <w:hideMark/>
          </w:tcPr>
          <w:p w14:paraId="70A8E79B"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0.051 </w:t>
            </w:r>
          </w:p>
        </w:tc>
        <w:tc>
          <w:tcPr>
            <w:tcW w:w="1540" w:type="dxa"/>
            <w:tcBorders>
              <w:top w:val="nil"/>
              <w:left w:val="nil"/>
              <w:bottom w:val="single" w:sz="4" w:space="0" w:color="auto"/>
              <w:right w:val="single" w:sz="4" w:space="0" w:color="auto"/>
            </w:tcBorders>
            <w:shd w:val="clear" w:color="auto" w:fill="auto"/>
            <w:noWrap/>
            <w:vAlign w:val="center"/>
            <w:hideMark/>
          </w:tcPr>
          <w:p w14:paraId="1ACA1AA6"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1,189</w:t>
            </w:r>
          </w:p>
        </w:tc>
      </w:tr>
      <w:tr w:rsidR="0032335C" w:rsidRPr="00C63A39" w14:paraId="4325D175"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321E7D53" w14:textId="3D33B719" w:rsidR="0032335C" w:rsidRPr="00C63A39" w:rsidRDefault="0032335C" w:rsidP="0032335C">
            <w:pPr>
              <w:rPr>
                <w:color w:val="000000"/>
                <w:kern w:val="22"/>
                <w:szCs w:val="22"/>
                <w:lang w:val="fr-FR" w:eastAsia="en-CA"/>
              </w:rPr>
            </w:pPr>
            <w:r w:rsidRPr="00C63A39">
              <w:rPr>
                <w:szCs w:val="22"/>
                <w:lang w:val="fr-FR"/>
              </w:rPr>
              <w:t>Guinée</w:t>
            </w:r>
          </w:p>
        </w:tc>
        <w:tc>
          <w:tcPr>
            <w:tcW w:w="1540" w:type="dxa"/>
            <w:tcBorders>
              <w:top w:val="nil"/>
              <w:left w:val="nil"/>
              <w:bottom w:val="single" w:sz="4" w:space="0" w:color="auto"/>
              <w:right w:val="single" w:sz="4" w:space="0" w:color="auto"/>
            </w:tcBorders>
            <w:shd w:val="clear" w:color="auto" w:fill="auto"/>
            <w:vAlign w:val="center"/>
            <w:hideMark/>
          </w:tcPr>
          <w:p w14:paraId="56BAB58A"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53D3478C"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6B6CAC95"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99</w:t>
            </w:r>
          </w:p>
        </w:tc>
      </w:tr>
      <w:tr w:rsidR="0032335C" w:rsidRPr="00C63A39" w14:paraId="4661DA08"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1CE13CC3" w14:textId="2C99A99B" w:rsidR="0032335C" w:rsidRPr="00C63A39" w:rsidRDefault="0032335C" w:rsidP="0032335C">
            <w:pPr>
              <w:rPr>
                <w:color w:val="000000"/>
                <w:kern w:val="22"/>
                <w:szCs w:val="22"/>
                <w:lang w:val="fr-FR" w:eastAsia="en-CA"/>
              </w:rPr>
            </w:pPr>
            <w:r w:rsidRPr="00C63A39">
              <w:rPr>
                <w:szCs w:val="22"/>
                <w:lang w:val="fr-FR"/>
              </w:rPr>
              <w:t>Guinée-Bissau</w:t>
            </w:r>
          </w:p>
        </w:tc>
        <w:tc>
          <w:tcPr>
            <w:tcW w:w="1540" w:type="dxa"/>
            <w:tcBorders>
              <w:top w:val="nil"/>
              <w:left w:val="nil"/>
              <w:bottom w:val="single" w:sz="4" w:space="0" w:color="auto"/>
              <w:right w:val="single" w:sz="4" w:space="0" w:color="auto"/>
            </w:tcBorders>
            <w:shd w:val="clear" w:color="auto" w:fill="auto"/>
            <w:vAlign w:val="center"/>
            <w:hideMark/>
          </w:tcPr>
          <w:p w14:paraId="07E4D4B8"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70C13C15"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402AD608"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33</w:t>
            </w:r>
          </w:p>
        </w:tc>
      </w:tr>
      <w:tr w:rsidR="0032335C" w:rsidRPr="00C63A39" w14:paraId="55183CBE"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32F638AD" w14:textId="5BD90348" w:rsidR="0032335C" w:rsidRPr="00C63A39" w:rsidRDefault="0032335C" w:rsidP="0032335C">
            <w:pPr>
              <w:rPr>
                <w:color w:val="000000"/>
                <w:kern w:val="22"/>
                <w:szCs w:val="22"/>
                <w:lang w:val="fr-FR" w:eastAsia="en-CA"/>
              </w:rPr>
            </w:pPr>
            <w:r w:rsidRPr="00C63A39">
              <w:rPr>
                <w:szCs w:val="22"/>
                <w:lang w:val="fr-FR"/>
              </w:rPr>
              <w:t>Guyane</w:t>
            </w:r>
          </w:p>
        </w:tc>
        <w:tc>
          <w:tcPr>
            <w:tcW w:w="1540" w:type="dxa"/>
            <w:tcBorders>
              <w:top w:val="nil"/>
              <w:left w:val="nil"/>
              <w:bottom w:val="single" w:sz="4" w:space="0" w:color="auto"/>
              <w:right w:val="single" w:sz="4" w:space="0" w:color="auto"/>
            </w:tcBorders>
            <w:shd w:val="clear" w:color="auto" w:fill="auto"/>
            <w:vAlign w:val="center"/>
            <w:hideMark/>
          </w:tcPr>
          <w:p w14:paraId="2AE92189"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4CB852B2"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56494CE8"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66</w:t>
            </w:r>
          </w:p>
        </w:tc>
      </w:tr>
      <w:tr w:rsidR="0032335C" w:rsidRPr="00C63A39" w14:paraId="3585AD6E"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1DDF2469" w14:textId="09B7963B" w:rsidR="0032335C" w:rsidRPr="00C63A39" w:rsidRDefault="0032335C" w:rsidP="0032335C">
            <w:pPr>
              <w:rPr>
                <w:color w:val="000000"/>
                <w:kern w:val="22"/>
                <w:szCs w:val="22"/>
                <w:lang w:val="fr-FR" w:eastAsia="en-CA"/>
              </w:rPr>
            </w:pPr>
            <w:r w:rsidRPr="00C63A39">
              <w:rPr>
                <w:szCs w:val="22"/>
                <w:lang w:val="fr-FR"/>
              </w:rPr>
              <w:t>Honduras</w:t>
            </w:r>
          </w:p>
        </w:tc>
        <w:tc>
          <w:tcPr>
            <w:tcW w:w="1540" w:type="dxa"/>
            <w:tcBorders>
              <w:top w:val="nil"/>
              <w:left w:val="nil"/>
              <w:bottom w:val="single" w:sz="4" w:space="0" w:color="auto"/>
              <w:right w:val="single" w:sz="4" w:space="0" w:color="auto"/>
            </w:tcBorders>
            <w:shd w:val="clear" w:color="auto" w:fill="auto"/>
            <w:vAlign w:val="center"/>
            <w:hideMark/>
          </w:tcPr>
          <w:p w14:paraId="14848C64"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14:paraId="3C0A8D4E"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0.013 </w:t>
            </w:r>
          </w:p>
        </w:tc>
        <w:tc>
          <w:tcPr>
            <w:tcW w:w="1540" w:type="dxa"/>
            <w:tcBorders>
              <w:top w:val="nil"/>
              <w:left w:val="nil"/>
              <w:bottom w:val="single" w:sz="4" w:space="0" w:color="auto"/>
              <w:right w:val="single" w:sz="4" w:space="0" w:color="auto"/>
            </w:tcBorders>
            <w:shd w:val="clear" w:color="auto" w:fill="auto"/>
            <w:noWrap/>
            <w:vAlign w:val="center"/>
            <w:hideMark/>
          </w:tcPr>
          <w:p w14:paraId="7BDBACEB"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297</w:t>
            </w:r>
          </w:p>
        </w:tc>
      </w:tr>
      <w:tr w:rsidR="0032335C" w:rsidRPr="00C63A39" w14:paraId="50CC9122"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645B2AC0" w14:textId="397B8327" w:rsidR="0032335C" w:rsidRPr="00C63A39" w:rsidRDefault="0032335C" w:rsidP="0032335C">
            <w:pPr>
              <w:rPr>
                <w:color w:val="000000"/>
                <w:kern w:val="22"/>
                <w:szCs w:val="22"/>
                <w:lang w:val="fr-FR" w:eastAsia="en-CA"/>
              </w:rPr>
            </w:pPr>
            <w:r w:rsidRPr="00C63A39">
              <w:rPr>
                <w:szCs w:val="22"/>
                <w:lang w:val="fr-FR"/>
              </w:rPr>
              <w:t>Hongrie</w:t>
            </w:r>
          </w:p>
        </w:tc>
        <w:tc>
          <w:tcPr>
            <w:tcW w:w="1540" w:type="dxa"/>
            <w:tcBorders>
              <w:top w:val="nil"/>
              <w:left w:val="nil"/>
              <w:bottom w:val="single" w:sz="4" w:space="0" w:color="auto"/>
              <w:right w:val="single" w:sz="4" w:space="0" w:color="auto"/>
            </w:tcBorders>
            <w:shd w:val="clear" w:color="auto" w:fill="auto"/>
            <w:vAlign w:val="center"/>
            <w:hideMark/>
          </w:tcPr>
          <w:p w14:paraId="18840721"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0.206 </w:t>
            </w:r>
          </w:p>
        </w:tc>
        <w:tc>
          <w:tcPr>
            <w:tcW w:w="1540" w:type="dxa"/>
            <w:tcBorders>
              <w:top w:val="nil"/>
              <w:left w:val="nil"/>
              <w:bottom w:val="single" w:sz="4" w:space="0" w:color="auto"/>
              <w:right w:val="single" w:sz="4" w:space="0" w:color="auto"/>
            </w:tcBorders>
            <w:shd w:val="clear" w:color="auto" w:fill="auto"/>
            <w:noWrap/>
            <w:vAlign w:val="center"/>
            <w:hideMark/>
          </w:tcPr>
          <w:p w14:paraId="1C124EBD"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0.294 </w:t>
            </w:r>
          </w:p>
        </w:tc>
        <w:tc>
          <w:tcPr>
            <w:tcW w:w="1540" w:type="dxa"/>
            <w:tcBorders>
              <w:top w:val="nil"/>
              <w:left w:val="nil"/>
              <w:bottom w:val="single" w:sz="4" w:space="0" w:color="auto"/>
              <w:right w:val="single" w:sz="4" w:space="0" w:color="auto"/>
            </w:tcBorders>
            <w:shd w:val="clear" w:color="auto" w:fill="auto"/>
            <w:noWrap/>
            <w:vAlign w:val="center"/>
            <w:hideMark/>
          </w:tcPr>
          <w:p w14:paraId="056362A9"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6,803</w:t>
            </w:r>
          </w:p>
        </w:tc>
      </w:tr>
      <w:tr w:rsidR="0032335C" w:rsidRPr="00C63A39" w14:paraId="039FC51B"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52E8B7D7" w14:textId="461441FA" w:rsidR="0032335C" w:rsidRPr="00C63A39" w:rsidRDefault="0032335C" w:rsidP="0032335C">
            <w:pPr>
              <w:rPr>
                <w:color w:val="000000"/>
                <w:kern w:val="22"/>
                <w:szCs w:val="22"/>
                <w:lang w:val="fr-FR" w:eastAsia="en-CA"/>
              </w:rPr>
            </w:pPr>
            <w:r w:rsidRPr="00C63A39">
              <w:rPr>
                <w:szCs w:val="22"/>
                <w:lang w:val="fr-FR"/>
              </w:rPr>
              <w:t>Inde</w:t>
            </w:r>
          </w:p>
        </w:tc>
        <w:tc>
          <w:tcPr>
            <w:tcW w:w="1540" w:type="dxa"/>
            <w:tcBorders>
              <w:top w:val="nil"/>
              <w:left w:val="nil"/>
              <w:bottom w:val="single" w:sz="4" w:space="0" w:color="auto"/>
              <w:right w:val="single" w:sz="4" w:space="0" w:color="auto"/>
            </w:tcBorders>
            <w:shd w:val="clear" w:color="auto" w:fill="auto"/>
            <w:vAlign w:val="center"/>
            <w:hideMark/>
          </w:tcPr>
          <w:p w14:paraId="44E1A1ED"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0.834 </w:t>
            </w:r>
          </w:p>
        </w:tc>
        <w:tc>
          <w:tcPr>
            <w:tcW w:w="1540" w:type="dxa"/>
            <w:tcBorders>
              <w:top w:val="nil"/>
              <w:left w:val="nil"/>
              <w:bottom w:val="single" w:sz="4" w:space="0" w:color="auto"/>
              <w:right w:val="single" w:sz="4" w:space="0" w:color="auto"/>
            </w:tcBorders>
            <w:shd w:val="clear" w:color="auto" w:fill="auto"/>
            <w:noWrap/>
            <w:vAlign w:val="center"/>
            <w:hideMark/>
          </w:tcPr>
          <w:p w14:paraId="1F0DCD61"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1.192 </w:t>
            </w:r>
          </w:p>
        </w:tc>
        <w:tc>
          <w:tcPr>
            <w:tcW w:w="1540" w:type="dxa"/>
            <w:tcBorders>
              <w:top w:val="nil"/>
              <w:left w:val="nil"/>
              <w:bottom w:val="single" w:sz="4" w:space="0" w:color="auto"/>
              <w:right w:val="single" w:sz="4" w:space="0" w:color="auto"/>
            </w:tcBorders>
            <w:shd w:val="clear" w:color="auto" w:fill="auto"/>
            <w:noWrap/>
            <w:vAlign w:val="center"/>
            <w:hideMark/>
          </w:tcPr>
          <w:p w14:paraId="6F8CB244"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27,542</w:t>
            </w:r>
          </w:p>
        </w:tc>
      </w:tr>
      <w:tr w:rsidR="0032335C" w:rsidRPr="00C63A39" w14:paraId="028DF004"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23594D97" w14:textId="6C14AADE" w:rsidR="0032335C" w:rsidRPr="00C63A39" w:rsidRDefault="0032335C" w:rsidP="0032335C">
            <w:pPr>
              <w:rPr>
                <w:color w:val="000000"/>
                <w:kern w:val="22"/>
                <w:szCs w:val="22"/>
                <w:lang w:val="fr-FR" w:eastAsia="en-CA"/>
              </w:rPr>
            </w:pPr>
            <w:r w:rsidRPr="00C63A39">
              <w:rPr>
                <w:szCs w:val="22"/>
                <w:lang w:val="fr-FR"/>
              </w:rPr>
              <w:t>Indonésie</w:t>
            </w:r>
          </w:p>
        </w:tc>
        <w:tc>
          <w:tcPr>
            <w:tcW w:w="1540" w:type="dxa"/>
            <w:tcBorders>
              <w:top w:val="nil"/>
              <w:left w:val="nil"/>
              <w:bottom w:val="single" w:sz="4" w:space="0" w:color="auto"/>
              <w:right w:val="single" w:sz="4" w:space="0" w:color="auto"/>
            </w:tcBorders>
            <w:shd w:val="clear" w:color="auto" w:fill="auto"/>
            <w:vAlign w:val="center"/>
            <w:hideMark/>
          </w:tcPr>
          <w:p w14:paraId="340256D9"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0.543 </w:t>
            </w:r>
          </w:p>
        </w:tc>
        <w:tc>
          <w:tcPr>
            <w:tcW w:w="1540" w:type="dxa"/>
            <w:tcBorders>
              <w:top w:val="nil"/>
              <w:left w:val="nil"/>
              <w:bottom w:val="single" w:sz="4" w:space="0" w:color="auto"/>
              <w:right w:val="single" w:sz="4" w:space="0" w:color="auto"/>
            </w:tcBorders>
            <w:shd w:val="clear" w:color="auto" w:fill="auto"/>
            <w:noWrap/>
            <w:vAlign w:val="center"/>
            <w:hideMark/>
          </w:tcPr>
          <w:p w14:paraId="58CA9720"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0.776 </w:t>
            </w:r>
          </w:p>
        </w:tc>
        <w:tc>
          <w:tcPr>
            <w:tcW w:w="1540" w:type="dxa"/>
            <w:tcBorders>
              <w:top w:val="nil"/>
              <w:left w:val="nil"/>
              <w:bottom w:val="single" w:sz="4" w:space="0" w:color="auto"/>
              <w:right w:val="single" w:sz="4" w:space="0" w:color="auto"/>
            </w:tcBorders>
            <w:shd w:val="clear" w:color="auto" w:fill="auto"/>
            <w:noWrap/>
            <w:vAlign w:val="center"/>
            <w:hideMark/>
          </w:tcPr>
          <w:p w14:paraId="6F148DB9"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17,932</w:t>
            </w:r>
          </w:p>
        </w:tc>
      </w:tr>
      <w:tr w:rsidR="0032335C" w:rsidRPr="00C63A39" w14:paraId="1D71F303"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1A3D7C08" w14:textId="4AA4E3FA" w:rsidR="0032335C" w:rsidRPr="00C63A39" w:rsidRDefault="0032335C" w:rsidP="0032335C">
            <w:pPr>
              <w:rPr>
                <w:color w:val="000000"/>
                <w:kern w:val="22"/>
                <w:szCs w:val="22"/>
                <w:lang w:val="fr-FR" w:eastAsia="en-CA"/>
              </w:rPr>
            </w:pPr>
            <w:r w:rsidRPr="00C63A39">
              <w:rPr>
                <w:szCs w:val="22"/>
                <w:lang w:val="fr-FR"/>
              </w:rPr>
              <w:t>Iran (République islamique d')</w:t>
            </w:r>
          </w:p>
        </w:tc>
        <w:tc>
          <w:tcPr>
            <w:tcW w:w="1540" w:type="dxa"/>
            <w:tcBorders>
              <w:top w:val="nil"/>
              <w:left w:val="nil"/>
              <w:bottom w:val="single" w:sz="4" w:space="0" w:color="auto"/>
              <w:right w:val="single" w:sz="4" w:space="0" w:color="auto"/>
            </w:tcBorders>
            <w:shd w:val="clear" w:color="auto" w:fill="auto"/>
            <w:vAlign w:val="center"/>
            <w:hideMark/>
          </w:tcPr>
          <w:p w14:paraId="43CC09B0"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0.398 </w:t>
            </w:r>
          </w:p>
        </w:tc>
        <w:tc>
          <w:tcPr>
            <w:tcW w:w="1540" w:type="dxa"/>
            <w:tcBorders>
              <w:top w:val="nil"/>
              <w:left w:val="nil"/>
              <w:bottom w:val="single" w:sz="4" w:space="0" w:color="auto"/>
              <w:right w:val="single" w:sz="4" w:space="0" w:color="auto"/>
            </w:tcBorders>
            <w:shd w:val="clear" w:color="auto" w:fill="auto"/>
            <w:noWrap/>
            <w:vAlign w:val="center"/>
            <w:hideMark/>
          </w:tcPr>
          <w:p w14:paraId="059C7A0F"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0.569 </w:t>
            </w:r>
          </w:p>
        </w:tc>
        <w:tc>
          <w:tcPr>
            <w:tcW w:w="1540" w:type="dxa"/>
            <w:tcBorders>
              <w:top w:val="nil"/>
              <w:left w:val="nil"/>
              <w:bottom w:val="single" w:sz="4" w:space="0" w:color="auto"/>
              <w:right w:val="single" w:sz="4" w:space="0" w:color="auto"/>
            </w:tcBorders>
            <w:shd w:val="clear" w:color="auto" w:fill="auto"/>
            <w:noWrap/>
            <w:vAlign w:val="center"/>
            <w:hideMark/>
          </w:tcPr>
          <w:p w14:paraId="5F03521C"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13,144</w:t>
            </w:r>
          </w:p>
        </w:tc>
      </w:tr>
      <w:tr w:rsidR="0032335C" w:rsidRPr="00C63A39" w14:paraId="648D4E71"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378470B7" w14:textId="28D8EA61" w:rsidR="0032335C" w:rsidRPr="00C63A39" w:rsidRDefault="0032335C" w:rsidP="0032335C">
            <w:pPr>
              <w:rPr>
                <w:color w:val="000000"/>
                <w:kern w:val="22"/>
                <w:szCs w:val="22"/>
                <w:lang w:val="fr-FR" w:eastAsia="en-CA"/>
              </w:rPr>
            </w:pPr>
            <w:r w:rsidRPr="00C63A39">
              <w:rPr>
                <w:szCs w:val="22"/>
                <w:lang w:val="fr-FR"/>
              </w:rPr>
              <w:t>Irak</w:t>
            </w:r>
          </w:p>
        </w:tc>
        <w:tc>
          <w:tcPr>
            <w:tcW w:w="1540" w:type="dxa"/>
            <w:tcBorders>
              <w:top w:val="nil"/>
              <w:left w:val="nil"/>
              <w:bottom w:val="single" w:sz="4" w:space="0" w:color="auto"/>
              <w:right w:val="single" w:sz="4" w:space="0" w:color="auto"/>
            </w:tcBorders>
            <w:shd w:val="clear" w:color="auto" w:fill="auto"/>
            <w:vAlign w:val="center"/>
            <w:hideMark/>
          </w:tcPr>
          <w:p w14:paraId="6EE4DFEA"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0.129 </w:t>
            </w:r>
          </w:p>
        </w:tc>
        <w:tc>
          <w:tcPr>
            <w:tcW w:w="1540" w:type="dxa"/>
            <w:tcBorders>
              <w:top w:val="nil"/>
              <w:left w:val="nil"/>
              <w:bottom w:val="single" w:sz="4" w:space="0" w:color="auto"/>
              <w:right w:val="single" w:sz="4" w:space="0" w:color="auto"/>
            </w:tcBorders>
            <w:shd w:val="clear" w:color="auto" w:fill="auto"/>
            <w:noWrap/>
            <w:vAlign w:val="center"/>
            <w:hideMark/>
          </w:tcPr>
          <w:p w14:paraId="5D6F0021"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0.184 </w:t>
            </w:r>
          </w:p>
        </w:tc>
        <w:tc>
          <w:tcPr>
            <w:tcW w:w="1540" w:type="dxa"/>
            <w:tcBorders>
              <w:top w:val="nil"/>
              <w:left w:val="nil"/>
              <w:bottom w:val="single" w:sz="4" w:space="0" w:color="auto"/>
              <w:right w:val="single" w:sz="4" w:space="0" w:color="auto"/>
            </w:tcBorders>
            <w:shd w:val="clear" w:color="auto" w:fill="auto"/>
            <w:noWrap/>
            <w:vAlign w:val="center"/>
            <w:hideMark/>
          </w:tcPr>
          <w:p w14:paraId="0664D007"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4,260</w:t>
            </w:r>
          </w:p>
        </w:tc>
      </w:tr>
      <w:tr w:rsidR="0032335C" w:rsidRPr="00C63A39" w14:paraId="72F53898"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1C074435" w14:textId="4D87F2D2" w:rsidR="0032335C" w:rsidRPr="00C63A39" w:rsidRDefault="0032335C" w:rsidP="0032335C">
            <w:pPr>
              <w:rPr>
                <w:color w:val="000000"/>
                <w:kern w:val="22"/>
                <w:szCs w:val="22"/>
                <w:lang w:val="fr-FR" w:eastAsia="en-CA"/>
              </w:rPr>
            </w:pPr>
            <w:r w:rsidRPr="00C63A39">
              <w:rPr>
                <w:szCs w:val="22"/>
                <w:lang w:val="fr-FR"/>
              </w:rPr>
              <w:t>Irlande</w:t>
            </w:r>
          </w:p>
        </w:tc>
        <w:tc>
          <w:tcPr>
            <w:tcW w:w="1540" w:type="dxa"/>
            <w:tcBorders>
              <w:top w:val="nil"/>
              <w:left w:val="nil"/>
              <w:bottom w:val="single" w:sz="4" w:space="0" w:color="auto"/>
              <w:right w:val="single" w:sz="4" w:space="0" w:color="auto"/>
            </w:tcBorders>
            <w:shd w:val="clear" w:color="auto" w:fill="auto"/>
            <w:vAlign w:val="center"/>
            <w:hideMark/>
          </w:tcPr>
          <w:p w14:paraId="5DD06218"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0.371 </w:t>
            </w:r>
          </w:p>
        </w:tc>
        <w:tc>
          <w:tcPr>
            <w:tcW w:w="1540" w:type="dxa"/>
            <w:tcBorders>
              <w:top w:val="nil"/>
              <w:left w:val="nil"/>
              <w:bottom w:val="single" w:sz="4" w:space="0" w:color="auto"/>
              <w:right w:val="single" w:sz="4" w:space="0" w:color="auto"/>
            </w:tcBorders>
            <w:shd w:val="clear" w:color="auto" w:fill="auto"/>
            <w:noWrap/>
            <w:vAlign w:val="center"/>
            <w:hideMark/>
          </w:tcPr>
          <w:p w14:paraId="1E501F71"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0.530 </w:t>
            </w:r>
          </w:p>
        </w:tc>
        <w:tc>
          <w:tcPr>
            <w:tcW w:w="1540" w:type="dxa"/>
            <w:tcBorders>
              <w:top w:val="nil"/>
              <w:left w:val="nil"/>
              <w:bottom w:val="single" w:sz="4" w:space="0" w:color="auto"/>
              <w:right w:val="single" w:sz="4" w:space="0" w:color="auto"/>
            </w:tcBorders>
            <w:shd w:val="clear" w:color="auto" w:fill="auto"/>
            <w:noWrap/>
            <w:vAlign w:val="center"/>
            <w:hideMark/>
          </w:tcPr>
          <w:p w14:paraId="02D2FB09"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12,252</w:t>
            </w:r>
          </w:p>
        </w:tc>
      </w:tr>
      <w:tr w:rsidR="0032335C" w:rsidRPr="00C63A39" w14:paraId="14200D37"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4489257E" w14:textId="5D286858" w:rsidR="0032335C" w:rsidRPr="00C63A39" w:rsidRDefault="0032335C" w:rsidP="0032335C">
            <w:pPr>
              <w:rPr>
                <w:color w:val="000000"/>
                <w:kern w:val="22"/>
                <w:szCs w:val="22"/>
                <w:lang w:val="fr-FR" w:eastAsia="en-CA"/>
              </w:rPr>
            </w:pPr>
            <w:r w:rsidRPr="00C63A39">
              <w:rPr>
                <w:szCs w:val="22"/>
                <w:lang w:val="fr-FR"/>
              </w:rPr>
              <w:t>Italie</w:t>
            </w:r>
          </w:p>
        </w:tc>
        <w:tc>
          <w:tcPr>
            <w:tcW w:w="1540" w:type="dxa"/>
            <w:tcBorders>
              <w:top w:val="nil"/>
              <w:left w:val="nil"/>
              <w:bottom w:val="single" w:sz="4" w:space="0" w:color="auto"/>
              <w:right w:val="single" w:sz="4" w:space="0" w:color="auto"/>
            </w:tcBorders>
            <w:shd w:val="clear" w:color="auto" w:fill="auto"/>
            <w:vAlign w:val="center"/>
            <w:hideMark/>
          </w:tcPr>
          <w:p w14:paraId="5C703082"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3.307 </w:t>
            </w:r>
          </w:p>
        </w:tc>
        <w:tc>
          <w:tcPr>
            <w:tcW w:w="1540" w:type="dxa"/>
            <w:tcBorders>
              <w:top w:val="nil"/>
              <w:left w:val="nil"/>
              <w:bottom w:val="single" w:sz="4" w:space="0" w:color="auto"/>
              <w:right w:val="single" w:sz="4" w:space="0" w:color="auto"/>
            </w:tcBorders>
            <w:shd w:val="clear" w:color="auto" w:fill="auto"/>
            <w:noWrap/>
            <w:vAlign w:val="center"/>
            <w:hideMark/>
          </w:tcPr>
          <w:p w14:paraId="5701CDFB"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4.725 </w:t>
            </w:r>
          </w:p>
        </w:tc>
        <w:tc>
          <w:tcPr>
            <w:tcW w:w="1540" w:type="dxa"/>
            <w:tcBorders>
              <w:top w:val="nil"/>
              <w:left w:val="nil"/>
              <w:bottom w:val="single" w:sz="4" w:space="0" w:color="auto"/>
              <w:right w:val="single" w:sz="4" w:space="0" w:color="auto"/>
            </w:tcBorders>
            <w:shd w:val="clear" w:color="auto" w:fill="auto"/>
            <w:noWrap/>
            <w:vAlign w:val="center"/>
            <w:hideMark/>
          </w:tcPr>
          <w:p w14:paraId="7B47FF74"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109,212</w:t>
            </w:r>
          </w:p>
        </w:tc>
      </w:tr>
      <w:tr w:rsidR="0032335C" w:rsidRPr="00C63A39" w14:paraId="2EAEF8A7"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2CA7A510" w14:textId="64672DA0" w:rsidR="0032335C" w:rsidRPr="00C63A39" w:rsidRDefault="0032335C" w:rsidP="0032335C">
            <w:pPr>
              <w:rPr>
                <w:color w:val="000000"/>
                <w:kern w:val="22"/>
                <w:szCs w:val="22"/>
                <w:lang w:val="fr-FR" w:eastAsia="en-CA"/>
              </w:rPr>
            </w:pPr>
            <w:r w:rsidRPr="00C63A39">
              <w:rPr>
                <w:szCs w:val="22"/>
                <w:lang w:val="fr-FR"/>
              </w:rPr>
              <w:t>Jamaïque</w:t>
            </w:r>
          </w:p>
        </w:tc>
        <w:tc>
          <w:tcPr>
            <w:tcW w:w="1540" w:type="dxa"/>
            <w:tcBorders>
              <w:top w:val="nil"/>
              <w:left w:val="nil"/>
              <w:bottom w:val="single" w:sz="4" w:space="0" w:color="auto"/>
              <w:right w:val="single" w:sz="4" w:space="0" w:color="auto"/>
            </w:tcBorders>
            <w:shd w:val="clear" w:color="auto" w:fill="auto"/>
            <w:vAlign w:val="center"/>
            <w:hideMark/>
          </w:tcPr>
          <w:p w14:paraId="3674257D"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0.008 </w:t>
            </w:r>
          </w:p>
        </w:tc>
        <w:tc>
          <w:tcPr>
            <w:tcW w:w="1540" w:type="dxa"/>
            <w:tcBorders>
              <w:top w:val="nil"/>
              <w:left w:val="nil"/>
              <w:bottom w:val="single" w:sz="4" w:space="0" w:color="auto"/>
              <w:right w:val="single" w:sz="4" w:space="0" w:color="auto"/>
            </w:tcBorders>
            <w:shd w:val="clear" w:color="auto" w:fill="auto"/>
            <w:noWrap/>
            <w:vAlign w:val="center"/>
            <w:hideMark/>
          </w:tcPr>
          <w:p w14:paraId="20CEFB9D"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0.011 </w:t>
            </w:r>
          </w:p>
        </w:tc>
        <w:tc>
          <w:tcPr>
            <w:tcW w:w="1540" w:type="dxa"/>
            <w:tcBorders>
              <w:top w:val="nil"/>
              <w:left w:val="nil"/>
              <w:bottom w:val="single" w:sz="4" w:space="0" w:color="auto"/>
              <w:right w:val="single" w:sz="4" w:space="0" w:color="auto"/>
            </w:tcBorders>
            <w:shd w:val="clear" w:color="auto" w:fill="auto"/>
            <w:noWrap/>
            <w:vAlign w:val="center"/>
            <w:hideMark/>
          </w:tcPr>
          <w:p w14:paraId="3F976949"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264</w:t>
            </w:r>
          </w:p>
        </w:tc>
      </w:tr>
      <w:tr w:rsidR="0032335C" w:rsidRPr="00C63A39" w14:paraId="2B278594"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0985DE10" w14:textId="0616AF44" w:rsidR="0032335C" w:rsidRPr="00C63A39" w:rsidRDefault="0032335C" w:rsidP="0032335C">
            <w:pPr>
              <w:rPr>
                <w:color w:val="000000"/>
                <w:kern w:val="22"/>
                <w:szCs w:val="22"/>
                <w:lang w:val="fr-FR" w:eastAsia="en-CA"/>
              </w:rPr>
            </w:pPr>
            <w:r w:rsidRPr="00C63A39">
              <w:rPr>
                <w:szCs w:val="22"/>
                <w:lang w:val="fr-FR"/>
              </w:rPr>
              <w:t>Japon</w:t>
            </w:r>
          </w:p>
        </w:tc>
        <w:tc>
          <w:tcPr>
            <w:tcW w:w="1540" w:type="dxa"/>
            <w:tcBorders>
              <w:top w:val="nil"/>
              <w:left w:val="nil"/>
              <w:bottom w:val="single" w:sz="4" w:space="0" w:color="auto"/>
              <w:right w:val="single" w:sz="4" w:space="0" w:color="auto"/>
            </w:tcBorders>
            <w:shd w:val="clear" w:color="auto" w:fill="auto"/>
            <w:vAlign w:val="center"/>
            <w:hideMark/>
          </w:tcPr>
          <w:p w14:paraId="6FA4B28C"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8.564 </w:t>
            </w:r>
          </w:p>
        </w:tc>
        <w:tc>
          <w:tcPr>
            <w:tcW w:w="1540" w:type="dxa"/>
            <w:tcBorders>
              <w:top w:val="nil"/>
              <w:left w:val="nil"/>
              <w:bottom w:val="single" w:sz="4" w:space="0" w:color="auto"/>
              <w:right w:val="single" w:sz="4" w:space="0" w:color="auto"/>
            </w:tcBorders>
            <w:shd w:val="clear" w:color="auto" w:fill="auto"/>
            <w:noWrap/>
            <w:vAlign w:val="center"/>
            <w:hideMark/>
          </w:tcPr>
          <w:p w14:paraId="1C62A18B"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12.236 </w:t>
            </w:r>
          </w:p>
        </w:tc>
        <w:tc>
          <w:tcPr>
            <w:tcW w:w="1540" w:type="dxa"/>
            <w:tcBorders>
              <w:top w:val="nil"/>
              <w:left w:val="nil"/>
              <w:bottom w:val="single" w:sz="4" w:space="0" w:color="auto"/>
              <w:right w:val="single" w:sz="4" w:space="0" w:color="auto"/>
            </w:tcBorders>
            <w:shd w:val="clear" w:color="auto" w:fill="auto"/>
            <w:noWrap/>
            <w:vAlign w:val="center"/>
            <w:hideMark/>
          </w:tcPr>
          <w:p w14:paraId="0EDC0E91"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282,821</w:t>
            </w:r>
          </w:p>
        </w:tc>
      </w:tr>
      <w:tr w:rsidR="0032335C" w:rsidRPr="00C63A39" w14:paraId="6F19C833"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263C3B62" w14:textId="6E1CC9F4" w:rsidR="0032335C" w:rsidRPr="00C63A39" w:rsidRDefault="0032335C" w:rsidP="0032335C">
            <w:pPr>
              <w:rPr>
                <w:color w:val="000000"/>
                <w:kern w:val="22"/>
                <w:szCs w:val="22"/>
                <w:lang w:val="fr-FR" w:eastAsia="en-CA"/>
              </w:rPr>
            </w:pPr>
            <w:r w:rsidRPr="00C63A39">
              <w:rPr>
                <w:szCs w:val="22"/>
                <w:lang w:val="fr-FR"/>
              </w:rPr>
              <w:t>Jordanie</w:t>
            </w:r>
          </w:p>
        </w:tc>
        <w:tc>
          <w:tcPr>
            <w:tcW w:w="1540" w:type="dxa"/>
            <w:tcBorders>
              <w:top w:val="nil"/>
              <w:left w:val="nil"/>
              <w:bottom w:val="single" w:sz="4" w:space="0" w:color="auto"/>
              <w:right w:val="single" w:sz="4" w:space="0" w:color="auto"/>
            </w:tcBorders>
            <w:shd w:val="clear" w:color="auto" w:fill="auto"/>
            <w:vAlign w:val="center"/>
            <w:hideMark/>
          </w:tcPr>
          <w:p w14:paraId="6FBEF66A"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0.021 </w:t>
            </w:r>
          </w:p>
        </w:tc>
        <w:tc>
          <w:tcPr>
            <w:tcW w:w="1540" w:type="dxa"/>
            <w:tcBorders>
              <w:top w:val="nil"/>
              <w:left w:val="nil"/>
              <w:bottom w:val="single" w:sz="4" w:space="0" w:color="auto"/>
              <w:right w:val="single" w:sz="4" w:space="0" w:color="auto"/>
            </w:tcBorders>
            <w:shd w:val="clear" w:color="auto" w:fill="auto"/>
            <w:noWrap/>
            <w:vAlign w:val="center"/>
            <w:hideMark/>
          </w:tcPr>
          <w:p w14:paraId="0C003C38"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0.030 </w:t>
            </w:r>
          </w:p>
        </w:tc>
        <w:tc>
          <w:tcPr>
            <w:tcW w:w="1540" w:type="dxa"/>
            <w:tcBorders>
              <w:top w:val="nil"/>
              <w:left w:val="nil"/>
              <w:bottom w:val="single" w:sz="4" w:space="0" w:color="auto"/>
              <w:right w:val="single" w:sz="4" w:space="0" w:color="auto"/>
            </w:tcBorders>
            <w:shd w:val="clear" w:color="auto" w:fill="auto"/>
            <w:noWrap/>
            <w:vAlign w:val="center"/>
            <w:hideMark/>
          </w:tcPr>
          <w:p w14:paraId="0012DFA1"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694</w:t>
            </w:r>
          </w:p>
        </w:tc>
      </w:tr>
      <w:tr w:rsidR="0032335C" w:rsidRPr="00C63A39" w14:paraId="29E8F407"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4B224CE1" w14:textId="0017F90D" w:rsidR="0032335C" w:rsidRPr="00C63A39" w:rsidRDefault="0032335C" w:rsidP="0032335C">
            <w:pPr>
              <w:rPr>
                <w:color w:val="000000"/>
                <w:kern w:val="22"/>
                <w:szCs w:val="22"/>
                <w:lang w:val="fr-FR" w:eastAsia="en-CA"/>
              </w:rPr>
            </w:pPr>
            <w:r w:rsidRPr="00C63A39">
              <w:rPr>
                <w:szCs w:val="22"/>
                <w:lang w:val="fr-FR"/>
              </w:rPr>
              <w:t>Kazakhstan</w:t>
            </w:r>
          </w:p>
        </w:tc>
        <w:tc>
          <w:tcPr>
            <w:tcW w:w="1540" w:type="dxa"/>
            <w:tcBorders>
              <w:top w:val="nil"/>
              <w:left w:val="nil"/>
              <w:bottom w:val="single" w:sz="4" w:space="0" w:color="auto"/>
              <w:right w:val="single" w:sz="4" w:space="0" w:color="auto"/>
            </w:tcBorders>
            <w:shd w:val="clear" w:color="auto" w:fill="auto"/>
            <w:vAlign w:val="center"/>
            <w:hideMark/>
          </w:tcPr>
          <w:p w14:paraId="7DEC410E"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0.178 </w:t>
            </w:r>
          </w:p>
        </w:tc>
        <w:tc>
          <w:tcPr>
            <w:tcW w:w="1540" w:type="dxa"/>
            <w:tcBorders>
              <w:top w:val="nil"/>
              <w:left w:val="nil"/>
              <w:bottom w:val="single" w:sz="4" w:space="0" w:color="auto"/>
              <w:right w:val="single" w:sz="4" w:space="0" w:color="auto"/>
            </w:tcBorders>
            <w:shd w:val="clear" w:color="auto" w:fill="auto"/>
            <w:noWrap/>
            <w:vAlign w:val="center"/>
            <w:hideMark/>
          </w:tcPr>
          <w:p w14:paraId="6B88B6CF"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0.254 </w:t>
            </w:r>
          </w:p>
        </w:tc>
        <w:tc>
          <w:tcPr>
            <w:tcW w:w="1540" w:type="dxa"/>
            <w:tcBorders>
              <w:top w:val="nil"/>
              <w:left w:val="nil"/>
              <w:bottom w:val="single" w:sz="4" w:space="0" w:color="auto"/>
              <w:right w:val="single" w:sz="4" w:space="0" w:color="auto"/>
            </w:tcBorders>
            <w:shd w:val="clear" w:color="auto" w:fill="auto"/>
            <w:noWrap/>
            <w:vAlign w:val="center"/>
            <w:hideMark/>
          </w:tcPr>
          <w:p w14:paraId="76DA25CC"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5,878</w:t>
            </w:r>
          </w:p>
        </w:tc>
      </w:tr>
      <w:tr w:rsidR="0032335C" w:rsidRPr="00C63A39" w14:paraId="2E092C78"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68E68031" w14:textId="2A2AD443" w:rsidR="0032335C" w:rsidRPr="00C63A39" w:rsidRDefault="0032335C" w:rsidP="0032335C">
            <w:pPr>
              <w:rPr>
                <w:color w:val="000000"/>
                <w:kern w:val="22"/>
                <w:szCs w:val="22"/>
                <w:lang w:val="fr-FR" w:eastAsia="en-CA"/>
              </w:rPr>
            </w:pPr>
            <w:r w:rsidRPr="00C63A39">
              <w:rPr>
                <w:szCs w:val="22"/>
                <w:lang w:val="fr-FR"/>
              </w:rPr>
              <w:t>Kenya</w:t>
            </w:r>
          </w:p>
        </w:tc>
        <w:tc>
          <w:tcPr>
            <w:tcW w:w="1540" w:type="dxa"/>
            <w:tcBorders>
              <w:top w:val="nil"/>
              <w:left w:val="nil"/>
              <w:bottom w:val="single" w:sz="4" w:space="0" w:color="auto"/>
              <w:right w:val="single" w:sz="4" w:space="0" w:color="auto"/>
            </w:tcBorders>
            <w:shd w:val="clear" w:color="auto" w:fill="auto"/>
            <w:vAlign w:val="center"/>
            <w:hideMark/>
          </w:tcPr>
          <w:p w14:paraId="6DD0B4DC"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0.024 </w:t>
            </w:r>
          </w:p>
        </w:tc>
        <w:tc>
          <w:tcPr>
            <w:tcW w:w="1540" w:type="dxa"/>
            <w:tcBorders>
              <w:top w:val="nil"/>
              <w:left w:val="nil"/>
              <w:bottom w:val="single" w:sz="4" w:space="0" w:color="auto"/>
              <w:right w:val="single" w:sz="4" w:space="0" w:color="auto"/>
            </w:tcBorders>
            <w:shd w:val="clear" w:color="auto" w:fill="auto"/>
            <w:noWrap/>
            <w:vAlign w:val="center"/>
            <w:hideMark/>
          </w:tcPr>
          <w:p w14:paraId="7AB74CB0"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0.034 </w:t>
            </w:r>
          </w:p>
        </w:tc>
        <w:tc>
          <w:tcPr>
            <w:tcW w:w="1540" w:type="dxa"/>
            <w:tcBorders>
              <w:top w:val="nil"/>
              <w:left w:val="nil"/>
              <w:bottom w:val="single" w:sz="4" w:space="0" w:color="auto"/>
              <w:right w:val="single" w:sz="4" w:space="0" w:color="auto"/>
            </w:tcBorders>
            <w:shd w:val="clear" w:color="auto" w:fill="auto"/>
            <w:noWrap/>
            <w:vAlign w:val="center"/>
            <w:hideMark/>
          </w:tcPr>
          <w:p w14:paraId="6505E403"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793</w:t>
            </w:r>
          </w:p>
        </w:tc>
      </w:tr>
      <w:tr w:rsidR="0032335C" w:rsidRPr="00C63A39" w14:paraId="0D4678F0"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30FBC838" w14:textId="3A30CE9F" w:rsidR="0032335C" w:rsidRPr="00C63A39" w:rsidRDefault="0032335C" w:rsidP="0032335C">
            <w:pPr>
              <w:rPr>
                <w:color w:val="000000"/>
                <w:kern w:val="22"/>
                <w:szCs w:val="22"/>
                <w:lang w:val="fr-FR" w:eastAsia="en-CA"/>
              </w:rPr>
            </w:pPr>
            <w:r w:rsidRPr="00C63A39">
              <w:rPr>
                <w:szCs w:val="22"/>
                <w:lang w:val="fr-FR"/>
              </w:rPr>
              <w:t>Kiribati</w:t>
            </w:r>
          </w:p>
        </w:tc>
        <w:tc>
          <w:tcPr>
            <w:tcW w:w="1540" w:type="dxa"/>
            <w:tcBorders>
              <w:top w:val="nil"/>
              <w:left w:val="nil"/>
              <w:bottom w:val="single" w:sz="4" w:space="0" w:color="auto"/>
              <w:right w:val="single" w:sz="4" w:space="0" w:color="auto"/>
            </w:tcBorders>
            <w:shd w:val="clear" w:color="auto" w:fill="auto"/>
            <w:vAlign w:val="center"/>
            <w:hideMark/>
          </w:tcPr>
          <w:p w14:paraId="463CD0E7"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26270F7A"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438981D4"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33</w:t>
            </w:r>
          </w:p>
        </w:tc>
      </w:tr>
      <w:tr w:rsidR="0032335C" w:rsidRPr="00C63A39" w14:paraId="2CD74167"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639A3746" w14:textId="53DFD8DE" w:rsidR="0032335C" w:rsidRPr="00C63A39" w:rsidRDefault="0032335C" w:rsidP="0032335C">
            <w:pPr>
              <w:rPr>
                <w:color w:val="000000"/>
                <w:kern w:val="22"/>
                <w:szCs w:val="22"/>
                <w:lang w:val="fr-FR" w:eastAsia="en-CA"/>
              </w:rPr>
            </w:pPr>
            <w:r w:rsidRPr="00C63A39">
              <w:rPr>
                <w:szCs w:val="22"/>
                <w:lang w:val="fr-FR"/>
              </w:rPr>
              <w:t>Koweït</w:t>
            </w:r>
          </w:p>
        </w:tc>
        <w:tc>
          <w:tcPr>
            <w:tcW w:w="1540" w:type="dxa"/>
            <w:tcBorders>
              <w:top w:val="nil"/>
              <w:left w:val="nil"/>
              <w:bottom w:val="single" w:sz="4" w:space="0" w:color="auto"/>
              <w:right w:val="single" w:sz="4" w:space="0" w:color="auto"/>
            </w:tcBorders>
            <w:shd w:val="clear" w:color="auto" w:fill="auto"/>
            <w:vAlign w:val="center"/>
            <w:hideMark/>
          </w:tcPr>
          <w:p w14:paraId="2E475917"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0.252 </w:t>
            </w:r>
          </w:p>
        </w:tc>
        <w:tc>
          <w:tcPr>
            <w:tcW w:w="1540" w:type="dxa"/>
            <w:tcBorders>
              <w:top w:val="nil"/>
              <w:left w:val="nil"/>
              <w:bottom w:val="single" w:sz="4" w:space="0" w:color="auto"/>
              <w:right w:val="single" w:sz="4" w:space="0" w:color="auto"/>
            </w:tcBorders>
            <w:shd w:val="clear" w:color="auto" w:fill="auto"/>
            <w:noWrap/>
            <w:vAlign w:val="center"/>
            <w:hideMark/>
          </w:tcPr>
          <w:p w14:paraId="023186F9"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0.360 </w:t>
            </w:r>
          </w:p>
        </w:tc>
        <w:tc>
          <w:tcPr>
            <w:tcW w:w="1540" w:type="dxa"/>
            <w:tcBorders>
              <w:top w:val="nil"/>
              <w:left w:val="nil"/>
              <w:bottom w:val="single" w:sz="4" w:space="0" w:color="auto"/>
              <w:right w:val="single" w:sz="4" w:space="0" w:color="auto"/>
            </w:tcBorders>
            <w:shd w:val="clear" w:color="auto" w:fill="auto"/>
            <w:noWrap/>
            <w:vAlign w:val="center"/>
            <w:hideMark/>
          </w:tcPr>
          <w:p w14:paraId="4113BA1A"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8,322</w:t>
            </w:r>
          </w:p>
        </w:tc>
      </w:tr>
      <w:tr w:rsidR="0032335C" w:rsidRPr="00C63A39" w14:paraId="4734AFB4"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58F4E19C" w14:textId="17D5135D" w:rsidR="0032335C" w:rsidRPr="00C63A39" w:rsidRDefault="0032335C" w:rsidP="0032335C">
            <w:pPr>
              <w:rPr>
                <w:color w:val="000000"/>
                <w:kern w:val="22"/>
                <w:szCs w:val="22"/>
                <w:lang w:val="fr-FR" w:eastAsia="en-CA"/>
              </w:rPr>
            </w:pPr>
            <w:r w:rsidRPr="00C63A39">
              <w:rPr>
                <w:szCs w:val="22"/>
                <w:lang w:val="fr-FR"/>
              </w:rPr>
              <w:t>Kirghizistan</w:t>
            </w:r>
          </w:p>
        </w:tc>
        <w:tc>
          <w:tcPr>
            <w:tcW w:w="1540" w:type="dxa"/>
            <w:tcBorders>
              <w:top w:val="nil"/>
              <w:left w:val="nil"/>
              <w:bottom w:val="single" w:sz="4" w:space="0" w:color="auto"/>
              <w:right w:val="single" w:sz="4" w:space="0" w:color="auto"/>
            </w:tcBorders>
            <w:shd w:val="clear" w:color="auto" w:fill="auto"/>
            <w:vAlign w:val="center"/>
            <w:hideMark/>
          </w:tcPr>
          <w:p w14:paraId="45800BAB"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5C4C6B79"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7AC3DE50"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66</w:t>
            </w:r>
          </w:p>
        </w:tc>
      </w:tr>
      <w:tr w:rsidR="0032335C" w:rsidRPr="00C63A39" w14:paraId="262544CC"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4B4563FB" w14:textId="197FC711" w:rsidR="0032335C" w:rsidRPr="00C63A39" w:rsidRDefault="0032335C" w:rsidP="0032335C">
            <w:pPr>
              <w:rPr>
                <w:color w:val="000000"/>
                <w:kern w:val="22"/>
                <w:szCs w:val="22"/>
                <w:lang w:val="fr-FR" w:eastAsia="en-CA"/>
              </w:rPr>
            </w:pPr>
            <w:r w:rsidRPr="00C63A39">
              <w:rPr>
                <w:szCs w:val="22"/>
                <w:lang w:val="fr-FR"/>
              </w:rPr>
              <w:t>République démocratique populaire lao</w:t>
            </w:r>
          </w:p>
        </w:tc>
        <w:tc>
          <w:tcPr>
            <w:tcW w:w="1540" w:type="dxa"/>
            <w:tcBorders>
              <w:top w:val="nil"/>
              <w:left w:val="nil"/>
              <w:bottom w:val="single" w:sz="4" w:space="0" w:color="auto"/>
              <w:right w:val="single" w:sz="4" w:space="0" w:color="auto"/>
            </w:tcBorders>
            <w:shd w:val="clear" w:color="auto" w:fill="auto"/>
            <w:vAlign w:val="center"/>
            <w:hideMark/>
          </w:tcPr>
          <w:p w14:paraId="40197AFC"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14:paraId="2C8FF77B"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14:paraId="2A15ECAC"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165</w:t>
            </w:r>
          </w:p>
        </w:tc>
      </w:tr>
    </w:tbl>
    <w:p w14:paraId="06A9F413" w14:textId="1201BB1E" w:rsidR="001F110D" w:rsidRPr="00C63A39" w:rsidRDefault="001F110D" w:rsidP="0079737F">
      <w:pPr>
        <w:spacing w:after="160" w:line="259" w:lineRule="auto"/>
        <w:rPr>
          <w:rFonts w:eastAsiaTheme="minorEastAsia"/>
          <w:bCs/>
          <w:kern w:val="22"/>
          <w:szCs w:val="22"/>
          <w:lang w:val="fr-FR"/>
        </w:rPr>
      </w:pPr>
    </w:p>
    <w:p w14:paraId="67741C0D" w14:textId="77777777" w:rsidR="001F110D" w:rsidRPr="00C63A39" w:rsidRDefault="001F110D">
      <w:pPr>
        <w:spacing w:after="160" w:line="259" w:lineRule="auto"/>
        <w:rPr>
          <w:rFonts w:eastAsiaTheme="minorEastAsia"/>
          <w:bCs/>
          <w:kern w:val="22"/>
          <w:szCs w:val="22"/>
          <w:lang w:val="fr-FR"/>
        </w:rPr>
      </w:pPr>
      <w:r w:rsidRPr="00C63A39">
        <w:rPr>
          <w:rFonts w:eastAsiaTheme="minorEastAsia"/>
          <w:bCs/>
          <w:kern w:val="22"/>
          <w:szCs w:val="22"/>
          <w:lang w:val="fr-FR"/>
        </w:rPr>
        <w:br w:type="page"/>
      </w:r>
    </w:p>
    <w:tbl>
      <w:tblPr>
        <w:tblW w:w="9464" w:type="dxa"/>
        <w:tblLook w:val="04A0" w:firstRow="1" w:lastRow="0" w:firstColumn="1" w:lastColumn="0" w:noHBand="0" w:noVBand="1"/>
      </w:tblPr>
      <w:tblGrid>
        <w:gridCol w:w="4823"/>
        <w:gridCol w:w="1547"/>
        <w:gridCol w:w="1547"/>
        <w:gridCol w:w="1547"/>
      </w:tblGrid>
      <w:tr w:rsidR="005F7E95" w:rsidRPr="00C63A39" w14:paraId="7759955E" w14:textId="77777777" w:rsidTr="00A573A7">
        <w:trPr>
          <w:trHeight w:val="844"/>
        </w:trPr>
        <w:tc>
          <w:tcPr>
            <w:tcW w:w="4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ADE865" w14:textId="178688A7" w:rsidR="005F7E95" w:rsidRPr="00C63A39" w:rsidRDefault="005F7E95" w:rsidP="005F7E95">
            <w:pPr>
              <w:jc w:val="center"/>
              <w:rPr>
                <w:b/>
                <w:bCs/>
                <w:kern w:val="22"/>
                <w:szCs w:val="22"/>
                <w:lang w:val="fr-FR" w:eastAsia="en-CA"/>
              </w:rPr>
            </w:pPr>
            <w:r w:rsidRPr="00C63A39">
              <w:rPr>
                <w:b/>
                <w:bCs/>
                <w:kern w:val="22"/>
                <w:szCs w:val="22"/>
                <w:lang w:val="fr-FR" w:eastAsia="en-CA"/>
              </w:rPr>
              <w:lastRenderedPageBreak/>
              <w:t>Partie</w:t>
            </w:r>
          </w:p>
        </w:tc>
        <w:tc>
          <w:tcPr>
            <w:tcW w:w="1547" w:type="dxa"/>
            <w:tcBorders>
              <w:top w:val="single" w:sz="4" w:space="0" w:color="auto"/>
              <w:left w:val="nil"/>
              <w:bottom w:val="single" w:sz="4" w:space="0" w:color="auto"/>
              <w:right w:val="single" w:sz="4" w:space="0" w:color="auto"/>
            </w:tcBorders>
            <w:shd w:val="clear" w:color="auto" w:fill="auto"/>
            <w:vAlign w:val="center"/>
            <w:hideMark/>
          </w:tcPr>
          <w:p w14:paraId="63B91C4B" w14:textId="55D8C6B0" w:rsidR="005F7E95" w:rsidRPr="00C63A39" w:rsidRDefault="005F7E95" w:rsidP="005F7E95">
            <w:pPr>
              <w:jc w:val="center"/>
              <w:rPr>
                <w:b/>
                <w:bCs/>
                <w:color w:val="000000"/>
                <w:kern w:val="22"/>
                <w:szCs w:val="22"/>
                <w:lang w:val="fr-FR" w:eastAsia="en-CA"/>
              </w:rPr>
            </w:pPr>
            <w:r w:rsidRPr="00C63A39">
              <w:rPr>
                <w:b/>
                <w:bCs/>
                <w:color w:val="000000"/>
                <w:kern w:val="22"/>
                <w:szCs w:val="22"/>
                <w:lang w:val="fr-FR" w:eastAsia="en-CA"/>
              </w:rPr>
              <w:t xml:space="preserve">Barème des quotes-parts </w:t>
            </w:r>
          </w:p>
        </w:tc>
        <w:tc>
          <w:tcPr>
            <w:tcW w:w="1547" w:type="dxa"/>
            <w:tcBorders>
              <w:top w:val="single" w:sz="4" w:space="0" w:color="auto"/>
              <w:left w:val="nil"/>
              <w:bottom w:val="single" w:sz="4" w:space="0" w:color="auto"/>
              <w:right w:val="single" w:sz="4" w:space="0" w:color="auto"/>
            </w:tcBorders>
            <w:shd w:val="clear" w:color="auto" w:fill="auto"/>
            <w:vAlign w:val="center"/>
            <w:hideMark/>
          </w:tcPr>
          <w:p w14:paraId="4F7F4C87" w14:textId="783E9812" w:rsidR="005F7E95" w:rsidRPr="00C63A39" w:rsidRDefault="005F7E95" w:rsidP="005F7E95">
            <w:pPr>
              <w:jc w:val="center"/>
              <w:rPr>
                <w:b/>
                <w:bCs/>
                <w:color w:val="000000"/>
                <w:kern w:val="22"/>
                <w:szCs w:val="22"/>
                <w:lang w:val="fr-FR" w:eastAsia="en-CA"/>
              </w:rPr>
            </w:pPr>
            <w:r w:rsidRPr="00C63A39">
              <w:rPr>
                <w:b/>
                <w:bCs/>
                <w:color w:val="000000"/>
                <w:kern w:val="22"/>
                <w:szCs w:val="22"/>
                <w:lang w:val="fr-FR" w:eastAsia="en-CA"/>
              </w:rPr>
              <w:t>Barème assorti d’un plafond de 22% ; aucun PMA ne paie plus de 0,01%</w:t>
            </w:r>
          </w:p>
        </w:tc>
        <w:tc>
          <w:tcPr>
            <w:tcW w:w="1547" w:type="dxa"/>
            <w:tcBorders>
              <w:top w:val="single" w:sz="4" w:space="0" w:color="auto"/>
              <w:left w:val="nil"/>
              <w:bottom w:val="single" w:sz="4" w:space="0" w:color="auto"/>
              <w:right w:val="single" w:sz="4" w:space="0" w:color="auto"/>
            </w:tcBorders>
            <w:shd w:val="clear" w:color="auto" w:fill="auto"/>
            <w:vAlign w:val="center"/>
            <w:hideMark/>
          </w:tcPr>
          <w:p w14:paraId="61A7A45E" w14:textId="55EC2228" w:rsidR="005F7E95" w:rsidRPr="00C63A39" w:rsidRDefault="005F7E95" w:rsidP="005F7E95">
            <w:pPr>
              <w:jc w:val="center"/>
              <w:rPr>
                <w:b/>
                <w:bCs/>
                <w:color w:val="000000"/>
                <w:kern w:val="22"/>
                <w:szCs w:val="22"/>
                <w:lang w:val="fr-FR" w:eastAsia="en-CA"/>
              </w:rPr>
            </w:pPr>
            <w:r w:rsidRPr="00C63A39">
              <w:rPr>
                <w:b/>
                <w:bCs/>
                <w:color w:val="000000"/>
                <w:kern w:val="22"/>
                <w:szCs w:val="22"/>
                <w:lang w:val="fr-FR" w:eastAsia="en-CA"/>
              </w:rPr>
              <w:t>Contributions au 1er janvier 2020</w:t>
            </w:r>
          </w:p>
        </w:tc>
      </w:tr>
      <w:tr w:rsidR="00432878" w:rsidRPr="00C63A39" w14:paraId="6BBAC529" w14:textId="77777777" w:rsidTr="00A573A7">
        <w:trPr>
          <w:trHeight w:val="343"/>
        </w:trPr>
        <w:tc>
          <w:tcPr>
            <w:tcW w:w="48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601733" w14:textId="316EACE3" w:rsidR="00432878" w:rsidRPr="00C63A39" w:rsidRDefault="00432878" w:rsidP="00432878">
            <w:pPr>
              <w:jc w:val="left"/>
              <w:rPr>
                <w:kern w:val="22"/>
                <w:szCs w:val="22"/>
                <w:lang w:val="fr-FR" w:eastAsia="en-CA"/>
              </w:rPr>
            </w:pPr>
            <w:r w:rsidRPr="00C63A39">
              <w:rPr>
                <w:kern w:val="22"/>
                <w:szCs w:val="22"/>
                <w:lang w:val="fr-FR" w:eastAsia="en-CA"/>
              </w:rPr>
              <w:t xml:space="preserve">Lettonie </w:t>
            </w:r>
          </w:p>
        </w:tc>
        <w:tc>
          <w:tcPr>
            <w:tcW w:w="1547" w:type="dxa"/>
            <w:tcBorders>
              <w:top w:val="single" w:sz="4" w:space="0" w:color="auto"/>
              <w:left w:val="nil"/>
              <w:bottom w:val="single" w:sz="4" w:space="0" w:color="auto"/>
              <w:right w:val="single" w:sz="4" w:space="0" w:color="auto"/>
            </w:tcBorders>
            <w:shd w:val="clear" w:color="auto" w:fill="auto"/>
            <w:vAlign w:val="center"/>
          </w:tcPr>
          <w:p w14:paraId="3366D76B" w14:textId="6DF21817" w:rsidR="00432878" w:rsidRPr="00C63A39" w:rsidRDefault="00432878" w:rsidP="00432878">
            <w:pPr>
              <w:jc w:val="right"/>
              <w:rPr>
                <w:b/>
                <w:bCs/>
                <w:color w:val="000000"/>
                <w:kern w:val="22"/>
                <w:szCs w:val="22"/>
                <w:lang w:val="fr-FR" w:eastAsia="en-CA"/>
              </w:rPr>
            </w:pPr>
            <w:r w:rsidRPr="00C63A39">
              <w:rPr>
                <w:color w:val="000000"/>
                <w:kern w:val="22"/>
                <w:szCs w:val="22"/>
                <w:lang w:eastAsia="en-CA"/>
              </w:rPr>
              <w:t>0.047</w:t>
            </w:r>
          </w:p>
        </w:tc>
        <w:tc>
          <w:tcPr>
            <w:tcW w:w="1547" w:type="dxa"/>
            <w:tcBorders>
              <w:top w:val="single" w:sz="4" w:space="0" w:color="auto"/>
              <w:left w:val="nil"/>
              <w:bottom w:val="single" w:sz="4" w:space="0" w:color="auto"/>
              <w:right w:val="single" w:sz="4" w:space="0" w:color="auto"/>
            </w:tcBorders>
            <w:shd w:val="clear" w:color="auto" w:fill="auto"/>
            <w:vAlign w:val="center"/>
          </w:tcPr>
          <w:p w14:paraId="0B630030" w14:textId="7B9312BA" w:rsidR="00432878" w:rsidRPr="00C63A39" w:rsidRDefault="00432878" w:rsidP="00432878">
            <w:pPr>
              <w:jc w:val="right"/>
              <w:rPr>
                <w:b/>
                <w:bCs/>
                <w:color w:val="000000"/>
                <w:kern w:val="22"/>
                <w:szCs w:val="22"/>
                <w:lang w:val="fr-FR" w:eastAsia="en-CA"/>
              </w:rPr>
            </w:pPr>
            <w:r w:rsidRPr="00C63A39">
              <w:rPr>
                <w:color w:val="000000"/>
                <w:kern w:val="22"/>
                <w:szCs w:val="22"/>
                <w:lang w:eastAsia="en-CA"/>
              </w:rPr>
              <w:t>0.067</w:t>
            </w:r>
          </w:p>
        </w:tc>
        <w:tc>
          <w:tcPr>
            <w:tcW w:w="1547" w:type="dxa"/>
            <w:tcBorders>
              <w:top w:val="single" w:sz="4" w:space="0" w:color="auto"/>
              <w:left w:val="nil"/>
              <w:bottom w:val="single" w:sz="4" w:space="0" w:color="auto"/>
              <w:right w:val="single" w:sz="4" w:space="0" w:color="auto"/>
            </w:tcBorders>
            <w:shd w:val="clear" w:color="auto" w:fill="auto"/>
            <w:vAlign w:val="center"/>
          </w:tcPr>
          <w:p w14:paraId="700ADC85" w14:textId="54426AD2" w:rsidR="00432878" w:rsidRPr="00C63A39" w:rsidRDefault="00432878" w:rsidP="00432878">
            <w:pPr>
              <w:jc w:val="right"/>
              <w:rPr>
                <w:b/>
                <w:bCs/>
                <w:color w:val="000000"/>
                <w:kern w:val="22"/>
                <w:szCs w:val="22"/>
                <w:lang w:val="fr-FR" w:eastAsia="en-CA"/>
              </w:rPr>
            </w:pPr>
            <w:r w:rsidRPr="00C63A39">
              <w:rPr>
                <w:color w:val="000000"/>
                <w:kern w:val="22"/>
                <w:szCs w:val="22"/>
                <w:lang w:eastAsia="en-CA"/>
              </w:rPr>
              <w:t>1,552</w:t>
            </w:r>
          </w:p>
        </w:tc>
      </w:tr>
      <w:tr w:rsidR="00432878" w:rsidRPr="00C63A39" w14:paraId="1D05B37E" w14:textId="77777777" w:rsidTr="00A573A7">
        <w:trPr>
          <w:trHeight w:val="301"/>
        </w:trPr>
        <w:tc>
          <w:tcPr>
            <w:tcW w:w="4823" w:type="dxa"/>
            <w:tcBorders>
              <w:top w:val="nil"/>
              <w:left w:val="single" w:sz="4" w:space="0" w:color="auto"/>
              <w:bottom w:val="single" w:sz="4" w:space="0" w:color="auto"/>
              <w:right w:val="single" w:sz="4" w:space="0" w:color="auto"/>
            </w:tcBorders>
            <w:shd w:val="clear" w:color="auto" w:fill="auto"/>
            <w:hideMark/>
          </w:tcPr>
          <w:p w14:paraId="1F6C0818" w14:textId="458CAE7B" w:rsidR="00432878" w:rsidRPr="00C63A39" w:rsidRDefault="00432878" w:rsidP="00432878">
            <w:pPr>
              <w:rPr>
                <w:color w:val="000000"/>
                <w:kern w:val="22"/>
                <w:szCs w:val="22"/>
                <w:lang w:val="fr-FR" w:eastAsia="en-CA"/>
              </w:rPr>
            </w:pPr>
            <w:r w:rsidRPr="00C63A39">
              <w:rPr>
                <w:szCs w:val="22"/>
                <w:lang w:val="fr-FR"/>
              </w:rPr>
              <w:t>Liban</w:t>
            </w:r>
          </w:p>
        </w:tc>
        <w:tc>
          <w:tcPr>
            <w:tcW w:w="1547" w:type="dxa"/>
            <w:tcBorders>
              <w:top w:val="nil"/>
              <w:left w:val="nil"/>
              <w:bottom w:val="single" w:sz="4" w:space="0" w:color="auto"/>
              <w:right w:val="single" w:sz="4" w:space="0" w:color="auto"/>
            </w:tcBorders>
            <w:shd w:val="clear" w:color="auto" w:fill="auto"/>
            <w:vAlign w:val="center"/>
            <w:hideMark/>
          </w:tcPr>
          <w:p w14:paraId="0E7F4CED" w14:textId="56A771AC" w:rsidR="00432878" w:rsidRPr="00C63A39" w:rsidRDefault="00432878" w:rsidP="00432878">
            <w:pPr>
              <w:jc w:val="right"/>
              <w:rPr>
                <w:color w:val="000000"/>
                <w:kern w:val="22"/>
                <w:szCs w:val="22"/>
                <w:lang w:val="fr-FR" w:eastAsia="en-CA"/>
              </w:rPr>
            </w:pPr>
            <w:r w:rsidRPr="00C63A39">
              <w:rPr>
                <w:color w:val="000000"/>
                <w:kern w:val="22"/>
                <w:szCs w:val="22"/>
                <w:lang w:eastAsia="en-CA"/>
              </w:rPr>
              <w:t>0.047</w:t>
            </w:r>
          </w:p>
        </w:tc>
        <w:tc>
          <w:tcPr>
            <w:tcW w:w="1547" w:type="dxa"/>
            <w:tcBorders>
              <w:top w:val="nil"/>
              <w:left w:val="nil"/>
              <w:bottom w:val="single" w:sz="4" w:space="0" w:color="auto"/>
              <w:right w:val="single" w:sz="4" w:space="0" w:color="auto"/>
            </w:tcBorders>
            <w:shd w:val="clear" w:color="auto" w:fill="auto"/>
            <w:noWrap/>
            <w:vAlign w:val="center"/>
            <w:hideMark/>
          </w:tcPr>
          <w:p w14:paraId="44B6C929" w14:textId="2EF36AB7" w:rsidR="00432878" w:rsidRPr="00C63A39" w:rsidRDefault="00432878" w:rsidP="00432878">
            <w:pPr>
              <w:jc w:val="right"/>
              <w:rPr>
                <w:color w:val="000000"/>
                <w:kern w:val="22"/>
                <w:szCs w:val="22"/>
                <w:lang w:val="fr-FR" w:eastAsia="en-CA"/>
              </w:rPr>
            </w:pPr>
            <w:r w:rsidRPr="00C63A39">
              <w:rPr>
                <w:color w:val="000000"/>
                <w:kern w:val="22"/>
                <w:szCs w:val="22"/>
                <w:lang w:eastAsia="en-CA"/>
              </w:rPr>
              <w:t>0.067</w:t>
            </w:r>
          </w:p>
        </w:tc>
        <w:tc>
          <w:tcPr>
            <w:tcW w:w="1547" w:type="dxa"/>
            <w:tcBorders>
              <w:top w:val="nil"/>
              <w:left w:val="nil"/>
              <w:bottom w:val="single" w:sz="4" w:space="0" w:color="auto"/>
              <w:right w:val="single" w:sz="4" w:space="0" w:color="auto"/>
            </w:tcBorders>
            <w:shd w:val="clear" w:color="auto" w:fill="auto"/>
            <w:noWrap/>
            <w:vAlign w:val="center"/>
            <w:hideMark/>
          </w:tcPr>
          <w:p w14:paraId="334FF20D" w14:textId="1BACC165" w:rsidR="00432878" w:rsidRPr="00C63A39" w:rsidRDefault="00432878" w:rsidP="00432878">
            <w:pPr>
              <w:jc w:val="right"/>
              <w:rPr>
                <w:color w:val="000000"/>
                <w:kern w:val="22"/>
                <w:szCs w:val="22"/>
                <w:lang w:val="fr-FR" w:eastAsia="en-CA"/>
              </w:rPr>
            </w:pPr>
            <w:r w:rsidRPr="00C63A39">
              <w:rPr>
                <w:color w:val="000000"/>
                <w:kern w:val="22"/>
                <w:szCs w:val="22"/>
                <w:lang w:eastAsia="en-CA"/>
              </w:rPr>
              <w:t>1,552</w:t>
            </w:r>
          </w:p>
        </w:tc>
      </w:tr>
      <w:tr w:rsidR="00432878" w:rsidRPr="00C63A39" w14:paraId="7B370126" w14:textId="77777777" w:rsidTr="00A573A7">
        <w:trPr>
          <w:trHeight w:val="301"/>
        </w:trPr>
        <w:tc>
          <w:tcPr>
            <w:tcW w:w="4823" w:type="dxa"/>
            <w:tcBorders>
              <w:top w:val="nil"/>
              <w:left w:val="single" w:sz="4" w:space="0" w:color="auto"/>
              <w:bottom w:val="single" w:sz="4" w:space="0" w:color="auto"/>
              <w:right w:val="single" w:sz="4" w:space="0" w:color="auto"/>
            </w:tcBorders>
            <w:shd w:val="clear" w:color="auto" w:fill="auto"/>
            <w:hideMark/>
          </w:tcPr>
          <w:p w14:paraId="7EC3A948" w14:textId="6204E446" w:rsidR="00432878" w:rsidRPr="00C63A39" w:rsidRDefault="00432878" w:rsidP="00432878">
            <w:pPr>
              <w:rPr>
                <w:color w:val="000000"/>
                <w:kern w:val="22"/>
                <w:szCs w:val="22"/>
                <w:lang w:val="fr-FR" w:eastAsia="en-CA"/>
              </w:rPr>
            </w:pPr>
            <w:r w:rsidRPr="00C63A39">
              <w:rPr>
                <w:szCs w:val="22"/>
                <w:lang w:val="fr-FR"/>
              </w:rPr>
              <w:t>Lesotho</w:t>
            </w:r>
          </w:p>
        </w:tc>
        <w:tc>
          <w:tcPr>
            <w:tcW w:w="1547" w:type="dxa"/>
            <w:tcBorders>
              <w:top w:val="nil"/>
              <w:left w:val="nil"/>
              <w:bottom w:val="single" w:sz="4" w:space="0" w:color="auto"/>
              <w:right w:val="single" w:sz="4" w:space="0" w:color="auto"/>
            </w:tcBorders>
            <w:shd w:val="clear" w:color="auto" w:fill="auto"/>
            <w:vAlign w:val="center"/>
            <w:hideMark/>
          </w:tcPr>
          <w:p w14:paraId="33423E6C" w14:textId="5BA13872" w:rsidR="00432878" w:rsidRPr="00C63A39" w:rsidRDefault="00432878" w:rsidP="00432878">
            <w:pPr>
              <w:jc w:val="right"/>
              <w:rPr>
                <w:color w:val="000000"/>
                <w:kern w:val="22"/>
                <w:szCs w:val="22"/>
                <w:lang w:val="fr-FR" w:eastAsia="en-CA"/>
              </w:rPr>
            </w:pPr>
            <w:r w:rsidRPr="00C63A39">
              <w:rPr>
                <w:color w:val="000000"/>
                <w:kern w:val="22"/>
                <w:szCs w:val="22"/>
                <w:lang w:eastAsia="en-CA"/>
              </w:rPr>
              <w:t>0.001</w:t>
            </w:r>
          </w:p>
        </w:tc>
        <w:tc>
          <w:tcPr>
            <w:tcW w:w="1547" w:type="dxa"/>
            <w:tcBorders>
              <w:top w:val="nil"/>
              <w:left w:val="nil"/>
              <w:bottom w:val="single" w:sz="4" w:space="0" w:color="auto"/>
              <w:right w:val="single" w:sz="4" w:space="0" w:color="auto"/>
            </w:tcBorders>
            <w:shd w:val="clear" w:color="auto" w:fill="auto"/>
            <w:noWrap/>
            <w:vAlign w:val="center"/>
            <w:hideMark/>
          </w:tcPr>
          <w:p w14:paraId="0F61741A" w14:textId="274ECF6C" w:rsidR="00432878" w:rsidRPr="00C63A39" w:rsidRDefault="00432878" w:rsidP="00432878">
            <w:pPr>
              <w:jc w:val="right"/>
              <w:rPr>
                <w:color w:val="000000"/>
                <w:kern w:val="22"/>
                <w:szCs w:val="22"/>
                <w:lang w:val="fr-FR" w:eastAsia="en-CA"/>
              </w:rPr>
            </w:pPr>
            <w:r w:rsidRPr="00C63A39">
              <w:rPr>
                <w:color w:val="000000"/>
                <w:kern w:val="22"/>
                <w:szCs w:val="22"/>
                <w:lang w:eastAsia="en-CA"/>
              </w:rPr>
              <w:t>0.001</w:t>
            </w:r>
          </w:p>
        </w:tc>
        <w:tc>
          <w:tcPr>
            <w:tcW w:w="1547" w:type="dxa"/>
            <w:tcBorders>
              <w:top w:val="nil"/>
              <w:left w:val="nil"/>
              <w:bottom w:val="single" w:sz="4" w:space="0" w:color="auto"/>
              <w:right w:val="single" w:sz="4" w:space="0" w:color="auto"/>
            </w:tcBorders>
            <w:shd w:val="clear" w:color="auto" w:fill="auto"/>
            <w:noWrap/>
            <w:vAlign w:val="center"/>
            <w:hideMark/>
          </w:tcPr>
          <w:p w14:paraId="28AFCC22" w14:textId="4071B8E7" w:rsidR="00432878" w:rsidRPr="00C63A39" w:rsidRDefault="00432878" w:rsidP="00432878">
            <w:pPr>
              <w:jc w:val="right"/>
              <w:rPr>
                <w:color w:val="000000"/>
                <w:kern w:val="22"/>
                <w:szCs w:val="22"/>
                <w:lang w:val="fr-FR" w:eastAsia="en-CA"/>
              </w:rPr>
            </w:pPr>
            <w:r w:rsidRPr="00C63A39">
              <w:rPr>
                <w:color w:val="000000"/>
                <w:kern w:val="22"/>
                <w:szCs w:val="22"/>
                <w:lang w:eastAsia="en-CA"/>
              </w:rPr>
              <w:t>33</w:t>
            </w:r>
          </w:p>
        </w:tc>
      </w:tr>
      <w:tr w:rsidR="00432878" w:rsidRPr="00C63A39" w14:paraId="3E8C9AA6" w14:textId="77777777" w:rsidTr="00A573A7">
        <w:trPr>
          <w:trHeight w:val="301"/>
        </w:trPr>
        <w:tc>
          <w:tcPr>
            <w:tcW w:w="4823" w:type="dxa"/>
            <w:tcBorders>
              <w:top w:val="nil"/>
              <w:left w:val="single" w:sz="4" w:space="0" w:color="auto"/>
              <w:bottom w:val="single" w:sz="4" w:space="0" w:color="auto"/>
              <w:right w:val="single" w:sz="4" w:space="0" w:color="auto"/>
            </w:tcBorders>
            <w:shd w:val="clear" w:color="auto" w:fill="auto"/>
            <w:hideMark/>
          </w:tcPr>
          <w:p w14:paraId="083415FB" w14:textId="1C9A6EB5" w:rsidR="00432878" w:rsidRPr="00C63A39" w:rsidRDefault="00432878" w:rsidP="00432878">
            <w:pPr>
              <w:rPr>
                <w:color w:val="000000"/>
                <w:kern w:val="22"/>
                <w:szCs w:val="22"/>
                <w:lang w:val="fr-FR" w:eastAsia="en-CA"/>
              </w:rPr>
            </w:pPr>
            <w:r w:rsidRPr="00C63A39">
              <w:rPr>
                <w:szCs w:val="22"/>
                <w:lang w:val="fr-FR"/>
              </w:rPr>
              <w:t>Liberia</w:t>
            </w:r>
          </w:p>
        </w:tc>
        <w:tc>
          <w:tcPr>
            <w:tcW w:w="1547" w:type="dxa"/>
            <w:tcBorders>
              <w:top w:val="nil"/>
              <w:left w:val="nil"/>
              <w:bottom w:val="single" w:sz="4" w:space="0" w:color="auto"/>
              <w:right w:val="single" w:sz="4" w:space="0" w:color="auto"/>
            </w:tcBorders>
            <w:shd w:val="clear" w:color="auto" w:fill="auto"/>
            <w:vAlign w:val="center"/>
            <w:hideMark/>
          </w:tcPr>
          <w:p w14:paraId="513BE55F" w14:textId="5CC09C52" w:rsidR="00432878" w:rsidRPr="00C63A39" w:rsidRDefault="00432878" w:rsidP="00432878">
            <w:pPr>
              <w:jc w:val="right"/>
              <w:rPr>
                <w:color w:val="000000"/>
                <w:kern w:val="22"/>
                <w:szCs w:val="22"/>
                <w:lang w:val="fr-FR" w:eastAsia="en-CA"/>
              </w:rPr>
            </w:pPr>
            <w:r w:rsidRPr="00C63A39">
              <w:rPr>
                <w:color w:val="000000"/>
                <w:kern w:val="22"/>
                <w:szCs w:val="22"/>
                <w:lang w:eastAsia="en-CA"/>
              </w:rPr>
              <w:t>0.001</w:t>
            </w:r>
          </w:p>
        </w:tc>
        <w:tc>
          <w:tcPr>
            <w:tcW w:w="1547" w:type="dxa"/>
            <w:tcBorders>
              <w:top w:val="nil"/>
              <w:left w:val="nil"/>
              <w:bottom w:val="single" w:sz="4" w:space="0" w:color="auto"/>
              <w:right w:val="single" w:sz="4" w:space="0" w:color="auto"/>
            </w:tcBorders>
            <w:shd w:val="clear" w:color="auto" w:fill="auto"/>
            <w:noWrap/>
            <w:vAlign w:val="center"/>
            <w:hideMark/>
          </w:tcPr>
          <w:p w14:paraId="01DB4748" w14:textId="1A82D248" w:rsidR="00432878" w:rsidRPr="00C63A39" w:rsidRDefault="00432878" w:rsidP="00432878">
            <w:pPr>
              <w:jc w:val="right"/>
              <w:rPr>
                <w:color w:val="000000"/>
                <w:kern w:val="22"/>
                <w:szCs w:val="22"/>
                <w:lang w:val="fr-FR" w:eastAsia="en-CA"/>
              </w:rPr>
            </w:pPr>
            <w:r w:rsidRPr="00C63A39">
              <w:rPr>
                <w:color w:val="000000"/>
                <w:kern w:val="22"/>
                <w:szCs w:val="22"/>
                <w:lang w:eastAsia="en-CA"/>
              </w:rPr>
              <w:t>0.001</w:t>
            </w:r>
          </w:p>
        </w:tc>
        <w:tc>
          <w:tcPr>
            <w:tcW w:w="1547" w:type="dxa"/>
            <w:tcBorders>
              <w:top w:val="nil"/>
              <w:left w:val="nil"/>
              <w:bottom w:val="single" w:sz="4" w:space="0" w:color="auto"/>
              <w:right w:val="single" w:sz="4" w:space="0" w:color="auto"/>
            </w:tcBorders>
            <w:shd w:val="clear" w:color="auto" w:fill="auto"/>
            <w:noWrap/>
            <w:vAlign w:val="center"/>
            <w:hideMark/>
          </w:tcPr>
          <w:p w14:paraId="544A397F" w14:textId="04BCCF5A" w:rsidR="00432878" w:rsidRPr="00C63A39" w:rsidRDefault="00432878" w:rsidP="00432878">
            <w:pPr>
              <w:jc w:val="right"/>
              <w:rPr>
                <w:color w:val="000000"/>
                <w:kern w:val="22"/>
                <w:szCs w:val="22"/>
                <w:lang w:val="fr-FR" w:eastAsia="en-CA"/>
              </w:rPr>
            </w:pPr>
            <w:r w:rsidRPr="00C63A39">
              <w:rPr>
                <w:color w:val="000000"/>
                <w:kern w:val="22"/>
                <w:szCs w:val="22"/>
                <w:lang w:eastAsia="en-CA"/>
              </w:rPr>
              <w:t>33</w:t>
            </w:r>
          </w:p>
        </w:tc>
      </w:tr>
      <w:tr w:rsidR="00432878" w:rsidRPr="00C63A39" w14:paraId="6AC46738" w14:textId="77777777" w:rsidTr="00A573A7">
        <w:trPr>
          <w:trHeight w:val="301"/>
        </w:trPr>
        <w:tc>
          <w:tcPr>
            <w:tcW w:w="4823" w:type="dxa"/>
            <w:tcBorders>
              <w:top w:val="nil"/>
              <w:left w:val="single" w:sz="4" w:space="0" w:color="auto"/>
              <w:bottom w:val="single" w:sz="4" w:space="0" w:color="auto"/>
              <w:right w:val="single" w:sz="4" w:space="0" w:color="auto"/>
            </w:tcBorders>
            <w:shd w:val="clear" w:color="auto" w:fill="auto"/>
            <w:hideMark/>
          </w:tcPr>
          <w:p w14:paraId="3315B729" w14:textId="6FE2053C" w:rsidR="00432878" w:rsidRPr="00C63A39" w:rsidRDefault="00432878" w:rsidP="00432878">
            <w:pPr>
              <w:rPr>
                <w:color w:val="000000"/>
                <w:kern w:val="22"/>
                <w:szCs w:val="22"/>
                <w:lang w:val="fr-FR" w:eastAsia="en-CA"/>
              </w:rPr>
            </w:pPr>
            <w:r w:rsidRPr="00C63A39">
              <w:rPr>
                <w:szCs w:val="22"/>
                <w:lang w:val="fr-FR"/>
              </w:rPr>
              <w:t>Libye</w:t>
            </w:r>
          </w:p>
        </w:tc>
        <w:tc>
          <w:tcPr>
            <w:tcW w:w="1547" w:type="dxa"/>
            <w:tcBorders>
              <w:top w:val="nil"/>
              <w:left w:val="nil"/>
              <w:bottom w:val="single" w:sz="4" w:space="0" w:color="auto"/>
              <w:right w:val="single" w:sz="4" w:space="0" w:color="auto"/>
            </w:tcBorders>
            <w:shd w:val="clear" w:color="auto" w:fill="auto"/>
            <w:vAlign w:val="center"/>
            <w:hideMark/>
          </w:tcPr>
          <w:p w14:paraId="6320661A" w14:textId="661B9165" w:rsidR="00432878" w:rsidRPr="00C63A39" w:rsidRDefault="00432878" w:rsidP="00432878">
            <w:pPr>
              <w:jc w:val="right"/>
              <w:rPr>
                <w:color w:val="000000"/>
                <w:kern w:val="22"/>
                <w:szCs w:val="22"/>
                <w:lang w:val="fr-FR" w:eastAsia="en-CA"/>
              </w:rPr>
            </w:pPr>
            <w:r w:rsidRPr="00C63A39">
              <w:rPr>
                <w:color w:val="000000"/>
                <w:kern w:val="22"/>
                <w:szCs w:val="22"/>
                <w:lang w:eastAsia="en-CA"/>
              </w:rPr>
              <w:t>0.030</w:t>
            </w:r>
          </w:p>
        </w:tc>
        <w:tc>
          <w:tcPr>
            <w:tcW w:w="1547" w:type="dxa"/>
            <w:tcBorders>
              <w:top w:val="nil"/>
              <w:left w:val="nil"/>
              <w:bottom w:val="single" w:sz="4" w:space="0" w:color="auto"/>
              <w:right w:val="single" w:sz="4" w:space="0" w:color="auto"/>
            </w:tcBorders>
            <w:shd w:val="clear" w:color="auto" w:fill="auto"/>
            <w:noWrap/>
            <w:vAlign w:val="center"/>
            <w:hideMark/>
          </w:tcPr>
          <w:p w14:paraId="6CF9D4DA" w14:textId="52318363" w:rsidR="00432878" w:rsidRPr="00C63A39" w:rsidRDefault="00432878" w:rsidP="00432878">
            <w:pPr>
              <w:jc w:val="right"/>
              <w:rPr>
                <w:color w:val="000000"/>
                <w:kern w:val="22"/>
                <w:szCs w:val="22"/>
                <w:lang w:val="fr-FR" w:eastAsia="en-CA"/>
              </w:rPr>
            </w:pPr>
            <w:r w:rsidRPr="00C63A39">
              <w:rPr>
                <w:color w:val="000000"/>
                <w:kern w:val="22"/>
                <w:szCs w:val="22"/>
                <w:lang w:eastAsia="en-CA"/>
              </w:rPr>
              <w:t>0.043</w:t>
            </w:r>
          </w:p>
        </w:tc>
        <w:tc>
          <w:tcPr>
            <w:tcW w:w="1547" w:type="dxa"/>
            <w:tcBorders>
              <w:top w:val="nil"/>
              <w:left w:val="nil"/>
              <w:bottom w:val="single" w:sz="4" w:space="0" w:color="auto"/>
              <w:right w:val="single" w:sz="4" w:space="0" w:color="auto"/>
            </w:tcBorders>
            <w:shd w:val="clear" w:color="auto" w:fill="auto"/>
            <w:noWrap/>
            <w:vAlign w:val="center"/>
            <w:hideMark/>
          </w:tcPr>
          <w:p w14:paraId="47678E21" w14:textId="62A5EBB2" w:rsidR="00432878" w:rsidRPr="00C63A39" w:rsidRDefault="00432878" w:rsidP="00432878">
            <w:pPr>
              <w:jc w:val="right"/>
              <w:rPr>
                <w:color w:val="000000"/>
                <w:kern w:val="22"/>
                <w:szCs w:val="22"/>
                <w:lang w:val="fr-FR" w:eastAsia="en-CA"/>
              </w:rPr>
            </w:pPr>
            <w:r w:rsidRPr="00C63A39">
              <w:rPr>
                <w:color w:val="000000"/>
                <w:kern w:val="22"/>
                <w:szCs w:val="22"/>
                <w:lang w:eastAsia="en-CA"/>
              </w:rPr>
              <w:t>991</w:t>
            </w:r>
          </w:p>
        </w:tc>
      </w:tr>
      <w:tr w:rsidR="00432878" w:rsidRPr="00C63A39" w14:paraId="1BDD0789" w14:textId="77777777" w:rsidTr="00A573A7">
        <w:trPr>
          <w:trHeight w:val="301"/>
        </w:trPr>
        <w:tc>
          <w:tcPr>
            <w:tcW w:w="4823" w:type="dxa"/>
            <w:tcBorders>
              <w:top w:val="nil"/>
              <w:left w:val="single" w:sz="4" w:space="0" w:color="auto"/>
              <w:bottom w:val="single" w:sz="4" w:space="0" w:color="auto"/>
              <w:right w:val="single" w:sz="4" w:space="0" w:color="auto"/>
            </w:tcBorders>
            <w:shd w:val="clear" w:color="auto" w:fill="auto"/>
            <w:hideMark/>
          </w:tcPr>
          <w:p w14:paraId="0BB8CA61" w14:textId="272A01A5" w:rsidR="00432878" w:rsidRPr="00C63A39" w:rsidRDefault="00432878" w:rsidP="00432878">
            <w:pPr>
              <w:rPr>
                <w:color w:val="000000"/>
                <w:kern w:val="22"/>
                <w:szCs w:val="22"/>
                <w:lang w:val="fr-FR" w:eastAsia="en-CA"/>
              </w:rPr>
            </w:pPr>
            <w:r w:rsidRPr="00C63A39">
              <w:rPr>
                <w:szCs w:val="22"/>
                <w:lang w:val="fr-FR"/>
              </w:rPr>
              <w:t>Lituanie</w:t>
            </w:r>
          </w:p>
        </w:tc>
        <w:tc>
          <w:tcPr>
            <w:tcW w:w="1547" w:type="dxa"/>
            <w:tcBorders>
              <w:top w:val="nil"/>
              <w:left w:val="nil"/>
              <w:bottom w:val="single" w:sz="4" w:space="0" w:color="auto"/>
              <w:right w:val="single" w:sz="4" w:space="0" w:color="auto"/>
            </w:tcBorders>
            <w:shd w:val="clear" w:color="auto" w:fill="auto"/>
            <w:vAlign w:val="center"/>
            <w:hideMark/>
          </w:tcPr>
          <w:p w14:paraId="4B38A874" w14:textId="239398F2" w:rsidR="00432878" w:rsidRPr="00C63A39" w:rsidRDefault="00432878" w:rsidP="00432878">
            <w:pPr>
              <w:jc w:val="right"/>
              <w:rPr>
                <w:color w:val="000000"/>
                <w:kern w:val="22"/>
                <w:szCs w:val="22"/>
                <w:lang w:val="fr-FR" w:eastAsia="en-CA"/>
              </w:rPr>
            </w:pPr>
            <w:r w:rsidRPr="00C63A39">
              <w:rPr>
                <w:color w:val="000000"/>
                <w:kern w:val="22"/>
                <w:szCs w:val="22"/>
                <w:lang w:eastAsia="en-CA"/>
              </w:rPr>
              <w:t>0.071</w:t>
            </w:r>
          </w:p>
        </w:tc>
        <w:tc>
          <w:tcPr>
            <w:tcW w:w="1547" w:type="dxa"/>
            <w:tcBorders>
              <w:top w:val="nil"/>
              <w:left w:val="nil"/>
              <w:bottom w:val="single" w:sz="4" w:space="0" w:color="auto"/>
              <w:right w:val="single" w:sz="4" w:space="0" w:color="auto"/>
            </w:tcBorders>
            <w:shd w:val="clear" w:color="auto" w:fill="auto"/>
            <w:noWrap/>
            <w:vAlign w:val="center"/>
            <w:hideMark/>
          </w:tcPr>
          <w:p w14:paraId="57A35357" w14:textId="0EA42143" w:rsidR="00432878" w:rsidRPr="00C63A39" w:rsidRDefault="00432878" w:rsidP="00432878">
            <w:pPr>
              <w:jc w:val="right"/>
              <w:rPr>
                <w:color w:val="000000"/>
                <w:kern w:val="22"/>
                <w:szCs w:val="22"/>
                <w:lang w:val="fr-FR" w:eastAsia="en-CA"/>
              </w:rPr>
            </w:pPr>
            <w:r w:rsidRPr="00C63A39">
              <w:rPr>
                <w:color w:val="000000"/>
                <w:kern w:val="22"/>
                <w:szCs w:val="22"/>
                <w:lang w:eastAsia="en-CA"/>
              </w:rPr>
              <w:t>0.101</w:t>
            </w:r>
          </w:p>
        </w:tc>
        <w:tc>
          <w:tcPr>
            <w:tcW w:w="1547" w:type="dxa"/>
            <w:tcBorders>
              <w:top w:val="nil"/>
              <w:left w:val="nil"/>
              <w:bottom w:val="single" w:sz="4" w:space="0" w:color="auto"/>
              <w:right w:val="single" w:sz="4" w:space="0" w:color="auto"/>
            </w:tcBorders>
            <w:shd w:val="clear" w:color="auto" w:fill="auto"/>
            <w:noWrap/>
            <w:vAlign w:val="center"/>
            <w:hideMark/>
          </w:tcPr>
          <w:p w14:paraId="2FC10B58" w14:textId="1DE2A826" w:rsidR="00432878" w:rsidRPr="00C63A39" w:rsidRDefault="00432878" w:rsidP="00432878">
            <w:pPr>
              <w:jc w:val="right"/>
              <w:rPr>
                <w:color w:val="000000"/>
                <w:kern w:val="22"/>
                <w:szCs w:val="22"/>
                <w:lang w:val="fr-FR" w:eastAsia="en-CA"/>
              </w:rPr>
            </w:pPr>
            <w:r w:rsidRPr="00C63A39">
              <w:rPr>
                <w:color w:val="000000"/>
                <w:kern w:val="22"/>
                <w:szCs w:val="22"/>
                <w:lang w:eastAsia="en-CA"/>
              </w:rPr>
              <w:t>2,345</w:t>
            </w:r>
          </w:p>
        </w:tc>
      </w:tr>
      <w:tr w:rsidR="00432878" w:rsidRPr="00C63A39" w14:paraId="385CAF3C" w14:textId="77777777" w:rsidTr="00A573A7">
        <w:trPr>
          <w:trHeight w:val="301"/>
        </w:trPr>
        <w:tc>
          <w:tcPr>
            <w:tcW w:w="4823" w:type="dxa"/>
            <w:tcBorders>
              <w:top w:val="nil"/>
              <w:left w:val="single" w:sz="4" w:space="0" w:color="auto"/>
              <w:bottom w:val="single" w:sz="4" w:space="0" w:color="auto"/>
              <w:right w:val="single" w:sz="4" w:space="0" w:color="auto"/>
            </w:tcBorders>
            <w:shd w:val="clear" w:color="auto" w:fill="auto"/>
            <w:hideMark/>
          </w:tcPr>
          <w:p w14:paraId="0976E113" w14:textId="0B02355C" w:rsidR="00432878" w:rsidRPr="00C63A39" w:rsidRDefault="00432878" w:rsidP="00432878">
            <w:pPr>
              <w:rPr>
                <w:color w:val="000000"/>
                <w:kern w:val="22"/>
                <w:szCs w:val="22"/>
                <w:lang w:val="fr-FR" w:eastAsia="en-CA"/>
              </w:rPr>
            </w:pPr>
            <w:r w:rsidRPr="00C63A39">
              <w:rPr>
                <w:szCs w:val="22"/>
                <w:lang w:val="fr-FR"/>
              </w:rPr>
              <w:t>Luxembourg</w:t>
            </w:r>
          </w:p>
        </w:tc>
        <w:tc>
          <w:tcPr>
            <w:tcW w:w="1547" w:type="dxa"/>
            <w:tcBorders>
              <w:top w:val="nil"/>
              <w:left w:val="nil"/>
              <w:bottom w:val="single" w:sz="4" w:space="0" w:color="auto"/>
              <w:right w:val="single" w:sz="4" w:space="0" w:color="auto"/>
            </w:tcBorders>
            <w:shd w:val="clear" w:color="auto" w:fill="auto"/>
            <w:vAlign w:val="center"/>
            <w:hideMark/>
          </w:tcPr>
          <w:p w14:paraId="30A54243" w14:textId="5573BEC5" w:rsidR="00432878" w:rsidRPr="00C63A39" w:rsidRDefault="00432878" w:rsidP="00432878">
            <w:pPr>
              <w:jc w:val="right"/>
              <w:rPr>
                <w:color w:val="000000"/>
                <w:kern w:val="22"/>
                <w:szCs w:val="22"/>
                <w:lang w:val="fr-FR" w:eastAsia="en-CA"/>
              </w:rPr>
            </w:pPr>
            <w:r w:rsidRPr="00C63A39">
              <w:rPr>
                <w:color w:val="000000"/>
                <w:kern w:val="22"/>
                <w:szCs w:val="22"/>
                <w:lang w:eastAsia="en-CA"/>
              </w:rPr>
              <w:t>0.067</w:t>
            </w:r>
          </w:p>
        </w:tc>
        <w:tc>
          <w:tcPr>
            <w:tcW w:w="1547" w:type="dxa"/>
            <w:tcBorders>
              <w:top w:val="nil"/>
              <w:left w:val="nil"/>
              <w:bottom w:val="single" w:sz="4" w:space="0" w:color="auto"/>
              <w:right w:val="single" w:sz="4" w:space="0" w:color="auto"/>
            </w:tcBorders>
            <w:shd w:val="clear" w:color="auto" w:fill="auto"/>
            <w:noWrap/>
            <w:vAlign w:val="center"/>
            <w:hideMark/>
          </w:tcPr>
          <w:p w14:paraId="4EEBCC32" w14:textId="113F92C4" w:rsidR="00432878" w:rsidRPr="00C63A39" w:rsidRDefault="00432878" w:rsidP="00432878">
            <w:pPr>
              <w:jc w:val="right"/>
              <w:rPr>
                <w:color w:val="000000"/>
                <w:kern w:val="22"/>
                <w:szCs w:val="22"/>
                <w:lang w:val="fr-FR" w:eastAsia="en-CA"/>
              </w:rPr>
            </w:pPr>
            <w:r w:rsidRPr="00C63A39">
              <w:rPr>
                <w:color w:val="000000"/>
                <w:kern w:val="22"/>
                <w:szCs w:val="22"/>
                <w:lang w:eastAsia="en-CA"/>
              </w:rPr>
              <w:t>0.096</w:t>
            </w:r>
          </w:p>
        </w:tc>
        <w:tc>
          <w:tcPr>
            <w:tcW w:w="1547" w:type="dxa"/>
            <w:tcBorders>
              <w:top w:val="nil"/>
              <w:left w:val="nil"/>
              <w:bottom w:val="single" w:sz="4" w:space="0" w:color="auto"/>
              <w:right w:val="single" w:sz="4" w:space="0" w:color="auto"/>
            </w:tcBorders>
            <w:shd w:val="clear" w:color="auto" w:fill="auto"/>
            <w:noWrap/>
            <w:vAlign w:val="center"/>
            <w:hideMark/>
          </w:tcPr>
          <w:p w14:paraId="47057B6C" w14:textId="21503F8E" w:rsidR="00432878" w:rsidRPr="00C63A39" w:rsidRDefault="00432878" w:rsidP="00432878">
            <w:pPr>
              <w:jc w:val="right"/>
              <w:rPr>
                <w:color w:val="000000"/>
                <w:kern w:val="22"/>
                <w:szCs w:val="22"/>
                <w:lang w:val="fr-FR" w:eastAsia="en-CA"/>
              </w:rPr>
            </w:pPr>
            <w:r w:rsidRPr="00C63A39">
              <w:rPr>
                <w:color w:val="000000"/>
                <w:kern w:val="22"/>
                <w:szCs w:val="22"/>
                <w:lang w:eastAsia="en-CA"/>
              </w:rPr>
              <w:t>2,213</w:t>
            </w:r>
          </w:p>
        </w:tc>
      </w:tr>
      <w:tr w:rsidR="00432878" w:rsidRPr="00C63A39" w14:paraId="332D3B74" w14:textId="77777777" w:rsidTr="00A573A7">
        <w:trPr>
          <w:trHeight w:val="301"/>
        </w:trPr>
        <w:tc>
          <w:tcPr>
            <w:tcW w:w="4823" w:type="dxa"/>
            <w:tcBorders>
              <w:top w:val="nil"/>
              <w:left w:val="single" w:sz="4" w:space="0" w:color="auto"/>
              <w:bottom w:val="single" w:sz="4" w:space="0" w:color="auto"/>
              <w:right w:val="single" w:sz="4" w:space="0" w:color="auto"/>
            </w:tcBorders>
            <w:shd w:val="clear" w:color="auto" w:fill="auto"/>
            <w:hideMark/>
          </w:tcPr>
          <w:p w14:paraId="56BB51D5" w14:textId="3599B521" w:rsidR="00432878" w:rsidRPr="00C63A39" w:rsidRDefault="00432878" w:rsidP="00432878">
            <w:pPr>
              <w:rPr>
                <w:color w:val="000000"/>
                <w:kern w:val="22"/>
                <w:szCs w:val="22"/>
                <w:lang w:val="fr-FR" w:eastAsia="en-CA"/>
              </w:rPr>
            </w:pPr>
            <w:r w:rsidRPr="00C63A39">
              <w:rPr>
                <w:szCs w:val="22"/>
                <w:lang w:val="fr-FR"/>
              </w:rPr>
              <w:t>Madagascar</w:t>
            </w:r>
          </w:p>
        </w:tc>
        <w:tc>
          <w:tcPr>
            <w:tcW w:w="1547" w:type="dxa"/>
            <w:tcBorders>
              <w:top w:val="nil"/>
              <w:left w:val="nil"/>
              <w:bottom w:val="single" w:sz="4" w:space="0" w:color="auto"/>
              <w:right w:val="single" w:sz="4" w:space="0" w:color="auto"/>
            </w:tcBorders>
            <w:shd w:val="clear" w:color="auto" w:fill="auto"/>
            <w:vAlign w:val="center"/>
            <w:hideMark/>
          </w:tcPr>
          <w:p w14:paraId="6B3F4BB1" w14:textId="6C97B62B" w:rsidR="00432878" w:rsidRPr="00C63A39" w:rsidRDefault="00432878" w:rsidP="00432878">
            <w:pPr>
              <w:jc w:val="right"/>
              <w:rPr>
                <w:color w:val="000000"/>
                <w:kern w:val="22"/>
                <w:szCs w:val="22"/>
                <w:lang w:val="fr-FR" w:eastAsia="en-CA"/>
              </w:rPr>
            </w:pPr>
            <w:r w:rsidRPr="00C63A39">
              <w:rPr>
                <w:color w:val="000000"/>
                <w:kern w:val="22"/>
                <w:szCs w:val="22"/>
                <w:lang w:eastAsia="en-CA"/>
              </w:rPr>
              <w:t>0.004</w:t>
            </w:r>
          </w:p>
        </w:tc>
        <w:tc>
          <w:tcPr>
            <w:tcW w:w="1547" w:type="dxa"/>
            <w:tcBorders>
              <w:top w:val="nil"/>
              <w:left w:val="nil"/>
              <w:bottom w:val="single" w:sz="4" w:space="0" w:color="auto"/>
              <w:right w:val="single" w:sz="4" w:space="0" w:color="auto"/>
            </w:tcBorders>
            <w:shd w:val="clear" w:color="auto" w:fill="auto"/>
            <w:noWrap/>
            <w:vAlign w:val="center"/>
            <w:hideMark/>
          </w:tcPr>
          <w:p w14:paraId="7647B40B" w14:textId="5EA74FA1" w:rsidR="00432878" w:rsidRPr="00C63A39" w:rsidRDefault="00432878" w:rsidP="00432878">
            <w:pPr>
              <w:jc w:val="right"/>
              <w:rPr>
                <w:color w:val="000000"/>
                <w:kern w:val="22"/>
                <w:szCs w:val="22"/>
                <w:lang w:val="fr-FR" w:eastAsia="en-CA"/>
              </w:rPr>
            </w:pPr>
            <w:r w:rsidRPr="00C63A39">
              <w:rPr>
                <w:color w:val="000000"/>
                <w:kern w:val="22"/>
                <w:szCs w:val="22"/>
                <w:lang w:eastAsia="en-CA"/>
              </w:rPr>
              <w:t>0.006</w:t>
            </w:r>
          </w:p>
        </w:tc>
        <w:tc>
          <w:tcPr>
            <w:tcW w:w="1547" w:type="dxa"/>
            <w:tcBorders>
              <w:top w:val="nil"/>
              <w:left w:val="nil"/>
              <w:bottom w:val="single" w:sz="4" w:space="0" w:color="auto"/>
              <w:right w:val="single" w:sz="4" w:space="0" w:color="auto"/>
            </w:tcBorders>
            <w:shd w:val="clear" w:color="auto" w:fill="auto"/>
            <w:noWrap/>
            <w:vAlign w:val="center"/>
            <w:hideMark/>
          </w:tcPr>
          <w:p w14:paraId="37D2F5D2" w14:textId="3BCD2744" w:rsidR="00432878" w:rsidRPr="00C63A39" w:rsidRDefault="00432878" w:rsidP="00432878">
            <w:pPr>
              <w:jc w:val="right"/>
              <w:rPr>
                <w:color w:val="000000"/>
                <w:kern w:val="22"/>
                <w:szCs w:val="22"/>
                <w:lang w:val="fr-FR" w:eastAsia="en-CA"/>
              </w:rPr>
            </w:pPr>
            <w:r w:rsidRPr="00C63A39">
              <w:rPr>
                <w:color w:val="000000"/>
                <w:kern w:val="22"/>
                <w:szCs w:val="22"/>
                <w:lang w:eastAsia="en-CA"/>
              </w:rPr>
              <w:t>132</w:t>
            </w:r>
          </w:p>
        </w:tc>
      </w:tr>
      <w:tr w:rsidR="00432878" w:rsidRPr="00C63A39" w14:paraId="0A919020" w14:textId="77777777" w:rsidTr="00A573A7">
        <w:trPr>
          <w:trHeight w:val="301"/>
        </w:trPr>
        <w:tc>
          <w:tcPr>
            <w:tcW w:w="4823" w:type="dxa"/>
            <w:tcBorders>
              <w:top w:val="nil"/>
              <w:left w:val="single" w:sz="4" w:space="0" w:color="auto"/>
              <w:bottom w:val="single" w:sz="4" w:space="0" w:color="auto"/>
              <w:right w:val="single" w:sz="4" w:space="0" w:color="auto"/>
            </w:tcBorders>
            <w:shd w:val="clear" w:color="auto" w:fill="auto"/>
            <w:hideMark/>
          </w:tcPr>
          <w:p w14:paraId="694E9386" w14:textId="2F0CFE96" w:rsidR="00432878" w:rsidRPr="00C63A39" w:rsidRDefault="00432878" w:rsidP="00432878">
            <w:pPr>
              <w:rPr>
                <w:color w:val="000000"/>
                <w:kern w:val="22"/>
                <w:szCs w:val="22"/>
                <w:lang w:val="fr-FR" w:eastAsia="en-CA"/>
              </w:rPr>
            </w:pPr>
            <w:r w:rsidRPr="00C63A39">
              <w:rPr>
                <w:szCs w:val="22"/>
                <w:lang w:val="fr-FR"/>
              </w:rPr>
              <w:t>Malawi</w:t>
            </w:r>
          </w:p>
        </w:tc>
        <w:tc>
          <w:tcPr>
            <w:tcW w:w="1547" w:type="dxa"/>
            <w:tcBorders>
              <w:top w:val="nil"/>
              <w:left w:val="nil"/>
              <w:bottom w:val="single" w:sz="4" w:space="0" w:color="auto"/>
              <w:right w:val="single" w:sz="4" w:space="0" w:color="auto"/>
            </w:tcBorders>
            <w:shd w:val="clear" w:color="auto" w:fill="auto"/>
            <w:vAlign w:val="center"/>
            <w:hideMark/>
          </w:tcPr>
          <w:p w14:paraId="067E7957" w14:textId="611184B6" w:rsidR="00432878" w:rsidRPr="00C63A39" w:rsidRDefault="00432878" w:rsidP="00432878">
            <w:pPr>
              <w:jc w:val="right"/>
              <w:rPr>
                <w:color w:val="000000"/>
                <w:kern w:val="22"/>
                <w:szCs w:val="22"/>
                <w:lang w:val="fr-FR" w:eastAsia="en-CA"/>
              </w:rPr>
            </w:pPr>
            <w:r w:rsidRPr="00C63A39">
              <w:rPr>
                <w:color w:val="000000"/>
                <w:kern w:val="22"/>
                <w:szCs w:val="22"/>
                <w:lang w:eastAsia="en-CA"/>
              </w:rPr>
              <w:t>0.002</w:t>
            </w:r>
          </w:p>
        </w:tc>
        <w:tc>
          <w:tcPr>
            <w:tcW w:w="1547" w:type="dxa"/>
            <w:tcBorders>
              <w:top w:val="nil"/>
              <w:left w:val="nil"/>
              <w:bottom w:val="single" w:sz="4" w:space="0" w:color="auto"/>
              <w:right w:val="single" w:sz="4" w:space="0" w:color="auto"/>
            </w:tcBorders>
            <w:shd w:val="clear" w:color="auto" w:fill="auto"/>
            <w:noWrap/>
            <w:vAlign w:val="center"/>
            <w:hideMark/>
          </w:tcPr>
          <w:p w14:paraId="3D01A32C" w14:textId="0E45D32C" w:rsidR="00432878" w:rsidRPr="00C63A39" w:rsidRDefault="00432878" w:rsidP="00432878">
            <w:pPr>
              <w:jc w:val="right"/>
              <w:rPr>
                <w:color w:val="000000"/>
                <w:kern w:val="22"/>
                <w:szCs w:val="22"/>
                <w:lang w:val="fr-FR" w:eastAsia="en-CA"/>
              </w:rPr>
            </w:pPr>
            <w:r w:rsidRPr="00C63A39">
              <w:rPr>
                <w:color w:val="000000"/>
                <w:kern w:val="22"/>
                <w:szCs w:val="22"/>
                <w:lang w:eastAsia="en-CA"/>
              </w:rPr>
              <w:t>0.003</w:t>
            </w:r>
          </w:p>
        </w:tc>
        <w:tc>
          <w:tcPr>
            <w:tcW w:w="1547" w:type="dxa"/>
            <w:tcBorders>
              <w:top w:val="nil"/>
              <w:left w:val="nil"/>
              <w:bottom w:val="single" w:sz="4" w:space="0" w:color="auto"/>
              <w:right w:val="single" w:sz="4" w:space="0" w:color="auto"/>
            </w:tcBorders>
            <w:shd w:val="clear" w:color="auto" w:fill="auto"/>
            <w:noWrap/>
            <w:vAlign w:val="center"/>
            <w:hideMark/>
          </w:tcPr>
          <w:p w14:paraId="02DD9B0A" w14:textId="7C3B71C7" w:rsidR="00432878" w:rsidRPr="00C63A39" w:rsidRDefault="00432878" w:rsidP="00432878">
            <w:pPr>
              <w:jc w:val="right"/>
              <w:rPr>
                <w:color w:val="000000"/>
                <w:kern w:val="22"/>
                <w:szCs w:val="22"/>
                <w:lang w:val="fr-FR" w:eastAsia="en-CA"/>
              </w:rPr>
            </w:pPr>
            <w:r w:rsidRPr="00C63A39">
              <w:rPr>
                <w:color w:val="000000"/>
                <w:kern w:val="22"/>
                <w:szCs w:val="22"/>
                <w:lang w:eastAsia="en-CA"/>
              </w:rPr>
              <w:t>66</w:t>
            </w:r>
          </w:p>
        </w:tc>
      </w:tr>
      <w:tr w:rsidR="00432878" w:rsidRPr="00C63A39" w14:paraId="1373D8A4" w14:textId="77777777" w:rsidTr="00A573A7">
        <w:trPr>
          <w:trHeight w:val="301"/>
        </w:trPr>
        <w:tc>
          <w:tcPr>
            <w:tcW w:w="4823" w:type="dxa"/>
            <w:tcBorders>
              <w:top w:val="nil"/>
              <w:left w:val="single" w:sz="4" w:space="0" w:color="auto"/>
              <w:bottom w:val="single" w:sz="4" w:space="0" w:color="auto"/>
              <w:right w:val="single" w:sz="4" w:space="0" w:color="auto"/>
            </w:tcBorders>
            <w:shd w:val="clear" w:color="auto" w:fill="auto"/>
            <w:hideMark/>
          </w:tcPr>
          <w:p w14:paraId="0D52C5AA" w14:textId="3F62C916" w:rsidR="00432878" w:rsidRPr="00C63A39" w:rsidRDefault="00432878" w:rsidP="00432878">
            <w:pPr>
              <w:rPr>
                <w:color w:val="000000"/>
                <w:kern w:val="22"/>
                <w:szCs w:val="22"/>
                <w:lang w:val="fr-FR" w:eastAsia="en-CA"/>
              </w:rPr>
            </w:pPr>
            <w:r w:rsidRPr="00C63A39">
              <w:rPr>
                <w:szCs w:val="22"/>
                <w:lang w:val="fr-FR"/>
              </w:rPr>
              <w:t>Malaisie</w:t>
            </w:r>
          </w:p>
        </w:tc>
        <w:tc>
          <w:tcPr>
            <w:tcW w:w="1547" w:type="dxa"/>
            <w:tcBorders>
              <w:top w:val="nil"/>
              <w:left w:val="nil"/>
              <w:bottom w:val="single" w:sz="4" w:space="0" w:color="auto"/>
              <w:right w:val="single" w:sz="4" w:space="0" w:color="auto"/>
            </w:tcBorders>
            <w:shd w:val="clear" w:color="auto" w:fill="auto"/>
            <w:vAlign w:val="center"/>
            <w:hideMark/>
          </w:tcPr>
          <w:p w14:paraId="3B75D168" w14:textId="10F89CA1" w:rsidR="00432878" w:rsidRPr="00C63A39" w:rsidRDefault="00432878" w:rsidP="00432878">
            <w:pPr>
              <w:jc w:val="right"/>
              <w:rPr>
                <w:color w:val="000000"/>
                <w:kern w:val="22"/>
                <w:szCs w:val="22"/>
                <w:lang w:val="fr-FR" w:eastAsia="en-CA"/>
              </w:rPr>
            </w:pPr>
            <w:r w:rsidRPr="00C63A39">
              <w:rPr>
                <w:color w:val="000000"/>
                <w:kern w:val="22"/>
                <w:szCs w:val="22"/>
                <w:lang w:eastAsia="en-CA"/>
              </w:rPr>
              <w:t>0.341</w:t>
            </w:r>
          </w:p>
        </w:tc>
        <w:tc>
          <w:tcPr>
            <w:tcW w:w="1547" w:type="dxa"/>
            <w:tcBorders>
              <w:top w:val="nil"/>
              <w:left w:val="nil"/>
              <w:bottom w:val="single" w:sz="4" w:space="0" w:color="auto"/>
              <w:right w:val="single" w:sz="4" w:space="0" w:color="auto"/>
            </w:tcBorders>
            <w:shd w:val="clear" w:color="auto" w:fill="auto"/>
            <w:noWrap/>
            <w:vAlign w:val="center"/>
            <w:hideMark/>
          </w:tcPr>
          <w:p w14:paraId="31EF5861" w14:textId="3100DB61" w:rsidR="00432878" w:rsidRPr="00C63A39" w:rsidRDefault="00432878" w:rsidP="00432878">
            <w:pPr>
              <w:jc w:val="right"/>
              <w:rPr>
                <w:color w:val="000000"/>
                <w:kern w:val="22"/>
                <w:szCs w:val="22"/>
                <w:lang w:val="fr-FR" w:eastAsia="en-CA"/>
              </w:rPr>
            </w:pPr>
            <w:r w:rsidRPr="00C63A39">
              <w:rPr>
                <w:color w:val="000000"/>
                <w:kern w:val="22"/>
                <w:szCs w:val="22"/>
                <w:lang w:eastAsia="en-CA"/>
              </w:rPr>
              <w:t>0.487</w:t>
            </w:r>
          </w:p>
        </w:tc>
        <w:tc>
          <w:tcPr>
            <w:tcW w:w="1547" w:type="dxa"/>
            <w:tcBorders>
              <w:top w:val="nil"/>
              <w:left w:val="nil"/>
              <w:bottom w:val="single" w:sz="4" w:space="0" w:color="auto"/>
              <w:right w:val="single" w:sz="4" w:space="0" w:color="auto"/>
            </w:tcBorders>
            <w:shd w:val="clear" w:color="auto" w:fill="auto"/>
            <w:noWrap/>
            <w:vAlign w:val="center"/>
            <w:hideMark/>
          </w:tcPr>
          <w:p w14:paraId="461E4CC4" w14:textId="01F37EC4" w:rsidR="00432878" w:rsidRPr="00C63A39" w:rsidRDefault="00432878" w:rsidP="00432878">
            <w:pPr>
              <w:jc w:val="right"/>
              <w:rPr>
                <w:color w:val="000000"/>
                <w:kern w:val="22"/>
                <w:szCs w:val="22"/>
                <w:lang w:val="fr-FR" w:eastAsia="en-CA"/>
              </w:rPr>
            </w:pPr>
            <w:r w:rsidRPr="00C63A39">
              <w:rPr>
                <w:color w:val="000000"/>
                <w:kern w:val="22"/>
                <w:szCs w:val="22"/>
                <w:lang w:eastAsia="en-CA"/>
              </w:rPr>
              <w:t>11,261</w:t>
            </w:r>
          </w:p>
        </w:tc>
      </w:tr>
      <w:tr w:rsidR="00432878" w:rsidRPr="00C63A39" w14:paraId="1BB2CFC6" w14:textId="77777777" w:rsidTr="00A573A7">
        <w:trPr>
          <w:trHeight w:val="301"/>
        </w:trPr>
        <w:tc>
          <w:tcPr>
            <w:tcW w:w="4823" w:type="dxa"/>
            <w:tcBorders>
              <w:top w:val="nil"/>
              <w:left w:val="single" w:sz="4" w:space="0" w:color="auto"/>
              <w:bottom w:val="single" w:sz="4" w:space="0" w:color="auto"/>
              <w:right w:val="single" w:sz="4" w:space="0" w:color="auto"/>
            </w:tcBorders>
            <w:shd w:val="clear" w:color="auto" w:fill="auto"/>
            <w:hideMark/>
          </w:tcPr>
          <w:p w14:paraId="5E4AD275" w14:textId="7FEFF9E0" w:rsidR="00432878" w:rsidRPr="00C63A39" w:rsidRDefault="00432878" w:rsidP="00432878">
            <w:pPr>
              <w:rPr>
                <w:color w:val="000000"/>
                <w:kern w:val="22"/>
                <w:szCs w:val="22"/>
                <w:lang w:val="fr-FR" w:eastAsia="en-CA"/>
              </w:rPr>
            </w:pPr>
            <w:r w:rsidRPr="00C63A39">
              <w:rPr>
                <w:szCs w:val="22"/>
                <w:lang w:val="fr-FR"/>
              </w:rPr>
              <w:t>Maldives</w:t>
            </w:r>
          </w:p>
        </w:tc>
        <w:tc>
          <w:tcPr>
            <w:tcW w:w="1547" w:type="dxa"/>
            <w:tcBorders>
              <w:top w:val="nil"/>
              <w:left w:val="nil"/>
              <w:bottom w:val="single" w:sz="4" w:space="0" w:color="auto"/>
              <w:right w:val="single" w:sz="4" w:space="0" w:color="auto"/>
            </w:tcBorders>
            <w:shd w:val="clear" w:color="auto" w:fill="auto"/>
            <w:vAlign w:val="center"/>
            <w:hideMark/>
          </w:tcPr>
          <w:p w14:paraId="7778CC42" w14:textId="04D6CDD5" w:rsidR="00432878" w:rsidRPr="00C63A39" w:rsidRDefault="00432878" w:rsidP="00432878">
            <w:pPr>
              <w:jc w:val="right"/>
              <w:rPr>
                <w:color w:val="000000"/>
                <w:kern w:val="22"/>
                <w:szCs w:val="22"/>
                <w:lang w:val="fr-FR" w:eastAsia="en-CA"/>
              </w:rPr>
            </w:pPr>
            <w:r w:rsidRPr="00C63A39">
              <w:rPr>
                <w:color w:val="000000"/>
                <w:kern w:val="22"/>
                <w:szCs w:val="22"/>
                <w:lang w:eastAsia="en-CA"/>
              </w:rPr>
              <w:t>0.004</w:t>
            </w:r>
          </w:p>
        </w:tc>
        <w:tc>
          <w:tcPr>
            <w:tcW w:w="1547" w:type="dxa"/>
            <w:tcBorders>
              <w:top w:val="nil"/>
              <w:left w:val="nil"/>
              <w:bottom w:val="single" w:sz="4" w:space="0" w:color="auto"/>
              <w:right w:val="single" w:sz="4" w:space="0" w:color="auto"/>
            </w:tcBorders>
            <w:shd w:val="clear" w:color="auto" w:fill="auto"/>
            <w:noWrap/>
            <w:vAlign w:val="center"/>
            <w:hideMark/>
          </w:tcPr>
          <w:p w14:paraId="7041068C" w14:textId="6CE2D4BB" w:rsidR="00432878" w:rsidRPr="00C63A39" w:rsidRDefault="00432878" w:rsidP="00432878">
            <w:pPr>
              <w:jc w:val="right"/>
              <w:rPr>
                <w:color w:val="000000"/>
                <w:kern w:val="22"/>
                <w:szCs w:val="22"/>
                <w:lang w:val="fr-FR" w:eastAsia="en-CA"/>
              </w:rPr>
            </w:pPr>
            <w:r w:rsidRPr="00C63A39">
              <w:rPr>
                <w:color w:val="000000"/>
                <w:kern w:val="22"/>
                <w:szCs w:val="22"/>
                <w:lang w:eastAsia="en-CA"/>
              </w:rPr>
              <w:t>0.006</w:t>
            </w:r>
          </w:p>
        </w:tc>
        <w:tc>
          <w:tcPr>
            <w:tcW w:w="1547" w:type="dxa"/>
            <w:tcBorders>
              <w:top w:val="nil"/>
              <w:left w:val="nil"/>
              <w:bottom w:val="single" w:sz="4" w:space="0" w:color="auto"/>
              <w:right w:val="single" w:sz="4" w:space="0" w:color="auto"/>
            </w:tcBorders>
            <w:shd w:val="clear" w:color="auto" w:fill="auto"/>
            <w:noWrap/>
            <w:vAlign w:val="center"/>
            <w:hideMark/>
          </w:tcPr>
          <w:p w14:paraId="09A50B65" w14:textId="2EA247AC" w:rsidR="00432878" w:rsidRPr="00C63A39" w:rsidRDefault="00432878" w:rsidP="00432878">
            <w:pPr>
              <w:jc w:val="right"/>
              <w:rPr>
                <w:color w:val="000000"/>
                <w:kern w:val="22"/>
                <w:szCs w:val="22"/>
                <w:lang w:val="fr-FR" w:eastAsia="en-CA"/>
              </w:rPr>
            </w:pPr>
            <w:r w:rsidRPr="00C63A39">
              <w:rPr>
                <w:color w:val="000000"/>
                <w:kern w:val="22"/>
                <w:szCs w:val="22"/>
                <w:lang w:eastAsia="en-CA"/>
              </w:rPr>
              <w:t>132</w:t>
            </w:r>
          </w:p>
        </w:tc>
      </w:tr>
      <w:tr w:rsidR="00432878" w:rsidRPr="00C63A39" w14:paraId="47EE108D" w14:textId="77777777" w:rsidTr="00A573A7">
        <w:trPr>
          <w:trHeight w:val="301"/>
        </w:trPr>
        <w:tc>
          <w:tcPr>
            <w:tcW w:w="4823" w:type="dxa"/>
            <w:tcBorders>
              <w:top w:val="nil"/>
              <w:left w:val="single" w:sz="4" w:space="0" w:color="auto"/>
              <w:bottom w:val="single" w:sz="4" w:space="0" w:color="auto"/>
              <w:right w:val="single" w:sz="4" w:space="0" w:color="auto"/>
            </w:tcBorders>
            <w:shd w:val="clear" w:color="auto" w:fill="auto"/>
            <w:hideMark/>
          </w:tcPr>
          <w:p w14:paraId="35D9AD9B" w14:textId="480D01F2" w:rsidR="00432878" w:rsidRPr="00C63A39" w:rsidRDefault="00432878" w:rsidP="00432878">
            <w:pPr>
              <w:rPr>
                <w:color w:val="000000"/>
                <w:kern w:val="22"/>
                <w:szCs w:val="22"/>
                <w:lang w:val="fr-FR" w:eastAsia="en-CA"/>
              </w:rPr>
            </w:pPr>
            <w:r w:rsidRPr="00C63A39">
              <w:rPr>
                <w:szCs w:val="22"/>
                <w:lang w:val="fr-FR"/>
              </w:rPr>
              <w:t>Mali</w:t>
            </w:r>
          </w:p>
        </w:tc>
        <w:tc>
          <w:tcPr>
            <w:tcW w:w="1547" w:type="dxa"/>
            <w:tcBorders>
              <w:top w:val="nil"/>
              <w:left w:val="nil"/>
              <w:bottom w:val="single" w:sz="4" w:space="0" w:color="auto"/>
              <w:right w:val="single" w:sz="4" w:space="0" w:color="auto"/>
            </w:tcBorders>
            <w:shd w:val="clear" w:color="auto" w:fill="auto"/>
            <w:vAlign w:val="center"/>
            <w:hideMark/>
          </w:tcPr>
          <w:p w14:paraId="7AE5E281" w14:textId="177CCEEC" w:rsidR="00432878" w:rsidRPr="00C63A39" w:rsidRDefault="00432878" w:rsidP="00432878">
            <w:pPr>
              <w:jc w:val="right"/>
              <w:rPr>
                <w:color w:val="000000"/>
                <w:kern w:val="22"/>
                <w:szCs w:val="22"/>
                <w:lang w:val="fr-FR" w:eastAsia="en-CA"/>
              </w:rPr>
            </w:pPr>
            <w:r w:rsidRPr="00C63A39">
              <w:rPr>
                <w:color w:val="000000"/>
                <w:kern w:val="22"/>
                <w:szCs w:val="22"/>
                <w:lang w:eastAsia="en-CA"/>
              </w:rPr>
              <w:t>0.004</w:t>
            </w:r>
          </w:p>
        </w:tc>
        <w:tc>
          <w:tcPr>
            <w:tcW w:w="1547" w:type="dxa"/>
            <w:tcBorders>
              <w:top w:val="nil"/>
              <w:left w:val="nil"/>
              <w:bottom w:val="single" w:sz="4" w:space="0" w:color="auto"/>
              <w:right w:val="single" w:sz="4" w:space="0" w:color="auto"/>
            </w:tcBorders>
            <w:shd w:val="clear" w:color="auto" w:fill="auto"/>
            <w:noWrap/>
            <w:vAlign w:val="center"/>
            <w:hideMark/>
          </w:tcPr>
          <w:p w14:paraId="602F6ED7" w14:textId="6927061E" w:rsidR="00432878" w:rsidRPr="00C63A39" w:rsidRDefault="00432878" w:rsidP="00432878">
            <w:pPr>
              <w:jc w:val="right"/>
              <w:rPr>
                <w:color w:val="000000"/>
                <w:kern w:val="22"/>
                <w:szCs w:val="22"/>
                <w:lang w:val="fr-FR" w:eastAsia="en-CA"/>
              </w:rPr>
            </w:pPr>
            <w:r w:rsidRPr="00C63A39">
              <w:rPr>
                <w:color w:val="000000"/>
                <w:kern w:val="22"/>
                <w:szCs w:val="22"/>
                <w:lang w:eastAsia="en-CA"/>
              </w:rPr>
              <w:t>0.006</w:t>
            </w:r>
          </w:p>
        </w:tc>
        <w:tc>
          <w:tcPr>
            <w:tcW w:w="1547" w:type="dxa"/>
            <w:tcBorders>
              <w:top w:val="nil"/>
              <w:left w:val="nil"/>
              <w:bottom w:val="single" w:sz="4" w:space="0" w:color="auto"/>
              <w:right w:val="single" w:sz="4" w:space="0" w:color="auto"/>
            </w:tcBorders>
            <w:shd w:val="clear" w:color="auto" w:fill="auto"/>
            <w:noWrap/>
            <w:vAlign w:val="center"/>
            <w:hideMark/>
          </w:tcPr>
          <w:p w14:paraId="16BC113D" w14:textId="6043C80A" w:rsidR="00432878" w:rsidRPr="00C63A39" w:rsidRDefault="00432878" w:rsidP="00432878">
            <w:pPr>
              <w:jc w:val="right"/>
              <w:rPr>
                <w:color w:val="000000"/>
                <w:kern w:val="22"/>
                <w:szCs w:val="22"/>
                <w:lang w:val="fr-FR" w:eastAsia="en-CA"/>
              </w:rPr>
            </w:pPr>
            <w:r w:rsidRPr="00C63A39">
              <w:rPr>
                <w:color w:val="000000"/>
                <w:kern w:val="22"/>
                <w:szCs w:val="22"/>
                <w:lang w:eastAsia="en-CA"/>
              </w:rPr>
              <w:t>132</w:t>
            </w:r>
          </w:p>
        </w:tc>
      </w:tr>
      <w:tr w:rsidR="00432878" w:rsidRPr="00C63A39" w14:paraId="416B8208" w14:textId="77777777" w:rsidTr="00A573A7">
        <w:trPr>
          <w:trHeight w:val="301"/>
        </w:trPr>
        <w:tc>
          <w:tcPr>
            <w:tcW w:w="4823" w:type="dxa"/>
            <w:tcBorders>
              <w:top w:val="nil"/>
              <w:left w:val="single" w:sz="4" w:space="0" w:color="auto"/>
              <w:bottom w:val="single" w:sz="4" w:space="0" w:color="auto"/>
              <w:right w:val="single" w:sz="4" w:space="0" w:color="auto"/>
            </w:tcBorders>
            <w:shd w:val="clear" w:color="auto" w:fill="auto"/>
            <w:hideMark/>
          </w:tcPr>
          <w:p w14:paraId="12FDBE54" w14:textId="3213E658" w:rsidR="00432878" w:rsidRPr="00C63A39" w:rsidRDefault="00432878" w:rsidP="00432878">
            <w:pPr>
              <w:rPr>
                <w:color w:val="000000"/>
                <w:kern w:val="22"/>
                <w:szCs w:val="22"/>
                <w:lang w:val="fr-FR" w:eastAsia="en-CA"/>
              </w:rPr>
            </w:pPr>
            <w:r w:rsidRPr="00C63A39">
              <w:rPr>
                <w:szCs w:val="22"/>
                <w:lang w:val="fr-FR"/>
              </w:rPr>
              <w:t>Malte</w:t>
            </w:r>
          </w:p>
        </w:tc>
        <w:tc>
          <w:tcPr>
            <w:tcW w:w="1547" w:type="dxa"/>
            <w:tcBorders>
              <w:top w:val="nil"/>
              <w:left w:val="nil"/>
              <w:bottom w:val="single" w:sz="4" w:space="0" w:color="auto"/>
              <w:right w:val="single" w:sz="4" w:space="0" w:color="auto"/>
            </w:tcBorders>
            <w:shd w:val="clear" w:color="auto" w:fill="auto"/>
            <w:vAlign w:val="center"/>
            <w:hideMark/>
          </w:tcPr>
          <w:p w14:paraId="2B7B4C79" w14:textId="6D5EF798" w:rsidR="00432878" w:rsidRPr="00C63A39" w:rsidRDefault="00432878" w:rsidP="00432878">
            <w:pPr>
              <w:jc w:val="right"/>
              <w:rPr>
                <w:color w:val="000000"/>
                <w:kern w:val="22"/>
                <w:szCs w:val="22"/>
                <w:lang w:val="fr-FR" w:eastAsia="en-CA"/>
              </w:rPr>
            </w:pPr>
            <w:r w:rsidRPr="00C63A39">
              <w:rPr>
                <w:color w:val="000000"/>
                <w:kern w:val="22"/>
                <w:szCs w:val="22"/>
                <w:lang w:eastAsia="en-CA"/>
              </w:rPr>
              <w:t>0.017</w:t>
            </w:r>
          </w:p>
        </w:tc>
        <w:tc>
          <w:tcPr>
            <w:tcW w:w="1547" w:type="dxa"/>
            <w:tcBorders>
              <w:top w:val="nil"/>
              <w:left w:val="nil"/>
              <w:bottom w:val="single" w:sz="4" w:space="0" w:color="auto"/>
              <w:right w:val="single" w:sz="4" w:space="0" w:color="auto"/>
            </w:tcBorders>
            <w:shd w:val="clear" w:color="auto" w:fill="auto"/>
            <w:noWrap/>
            <w:vAlign w:val="center"/>
            <w:hideMark/>
          </w:tcPr>
          <w:p w14:paraId="34317B06" w14:textId="095AF489" w:rsidR="00432878" w:rsidRPr="00C63A39" w:rsidRDefault="00432878" w:rsidP="00432878">
            <w:pPr>
              <w:jc w:val="right"/>
              <w:rPr>
                <w:color w:val="000000"/>
                <w:kern w:val="22"/>
                <w:szCs w:val="22"/>
                <w:lang w:val="fr-FR" w:eastAsia="en-CA"/>
              </w:rPr>
            </w:pPr>
            <w:r w:rsidRPr="00C63A39">
              <w:rPr>
                <w:color w:val="000000"/>
                <w:kern w:val="22"/>
                <w:szCs w:val="22"/>
                <w:lang w:eastAsia="en-CA"/>
              </w:rPr>
              <w:t>0.024</w:t>
            </w:r>
          </w:p>
        </w:tc>
        <w:tc>
          <w:tcPr>
            <w:tcW w:w="1547" w:type="dxa"/>
            <w:tcBorders>
              <w:top w:val="nil"/>
              <w:left w:val="nil"/>
              <w:bottom w:val="single" w:sz="4" w:space="0" w:color="auto"/>
              <w:right w:val="single" w:sz="4" w:space="0" w:color="auto"/>
            </w:tcBorders>
            <w:shd w:val="clear" w:color="auto" w:fill="auto"/>
            <w:noWrap/>
            <w:vAlign w:val="center"/>
            <w:hideMark/>
          </w:tcPr>
          <w:p w14:paraId="69497071" w14:textId="726F236A" w:rsidR="00432878" w:rsidRPr="00C63A39" w:rsidRDefault="00432878" w:rsidP="00432878">
            <w:pPr>
              <w:jc w:val="right"/>
              <w:rPr>
                <w:color w:val="000000"/>
                <w:kern w:val="22"/>
                <w:szCs w:val="22"/>
                <w:lang w:val="fr-FR" w:eastAsia="en-CA"/>
              </w:rPr>
            </w:pPr>
            <w:r w:rsidRPr="00C63A39">
              <w:rPr>
                <w:color w:val="000000"/>
                <w:kern w:val="22"/>
                <w:szCs w:val="22"/>
                <w:lang w:eastAsia="en-CA"/>
              </w:rPr>
              <w:t>561</w:t>
            </w:r>
          </w:p>
        </w:tc>
      </w:tr>
      <w:tr w:rsidR="00432878" w:rsidRPr="00C63A39" w14:paraId="6A5632BE" w14:textId="77777777" w:rsidTr="00A573A7">
        <w:trPr>
          <w:trHeight w:val="301"/>
        </w:trPr>
        <w:tc>
          <w:tcPr>
            <w:tcW w:w="4823" w:type="dxa"/>
            <w:tcBorders>
              <w:top w:val="nil"/>
              <w:left w:val="single" w:sz="4" w:space="0" w:color="auto"/>
              <w:bottom w:val="single" w:sz="4" w:space="0" w:color="auto"/>
              <w:right w:val="single" w:sz="4" w:space="0" w:color="auto"/>
            </w:tcBorders>
            <w:shd w:val="clear" w:color="auto" w:fill="auto"/>
            <w:hideMark/>
          </w:tcPr>
          <w:p w14:paraId="546844B9" w14:textId="6E3C482B" w:rsidR="00432878" w:rsidRPr="00C63A39" w:rsidRDefault="00432878" w:rsidP="00432878">
            <w:pPr>
              <w:rPr>
                <w:color w:val="000000"/>
                <w:kern w:val="22"/>
                <w:szCs w:val="22"/>
                <w:lang w:val="fr-FR" w:eastAsia="en-CA"/>
              </w:rPr>
            </w:pPr>
            <w:r w:rsidRPr="00C63A39">
              <w:rPr>
                <w:szCs w:val="22"/>
                <w:lang w:val="fr-FR"/>
              </w:rPr>
              <w:t>Îles Marshall</w:t>
            </w:r>
          </w:p>
        </w:tc>
        <w:tc>
          <w:tcPr>
            <w:tcW w:w="1547" w:type="dxa"/>
            <w:tcBorders>
              <w:top w:val="nil"/>
              <w:left w:val="nil"/>
              <w:bottom w:val="single" w:sz="4" w:space="0" w:color="auto"/>
              <w:right w:val="single" w:sz="4" w:space="0" w:color="auto"/>
            </w:tcBorders>
            <w:shd w:val="clear" w:color="auto" w:fill="auto"/>
            <w:vAlign w:val="center"/>
            <w:hideMark/>
          </w:tcPr>
          <w:p w14:paraId="3F21428D" w14:textId="3F2990FA" w:rsidR="00432878" w:rsidRPr="00C63A39" w:rsidRDefault="00432878" w:rsidP="00432878">
            <w:pPr>
              <w:jc w:val="right"/>
              <w:rPr>
                <w:color w:val="000000"/>
                <w:kern w:val="22"/>
                <w:szCs w:val="22"/>
                <w:lang w:val="fr-FR" w:eastAsia="en-CA"/>
              </w:rPr>
            </w:pPr>
            <w:r w:rsidRPr="00C63A39">
              <w:rPr>
                <w:color w:val="000000"/>
                <w:kern w:val="22"/>
                <w:szCs w:val="22"/>
                <w:lang w:eastAsia="en-CA"/>
              </w:rPr>
              <w:t>0.001</w:t>
            </w:r>
          </w:p>
        </w:tc>
        <w:tc>
          <w:tcPr>
            <w:tcW w:w="1547" w:type="dxa"/>
            <w:tcBorders>
              <w:top w:val="nil"/>
              <w:left w:val="nil"/>
              <w:bottom w:val="single" w:sz="4" w:space="0" w:color="auto"/>
              <w:right w:val="single" w:sz="4" w:space="0" w:color="auto"/>
            </w:tcBorders>
            <w:shd w:val="clear" w:color="auto" w:fill="auto"/>
            <w:noWrap/>
            <w:vAlign w:val="center"/>
            <w:hideMark/>
          </w:tcPr>
          <w:p w14:paraId="7A02F0CA" w14:textId="28AD02AF" w:rsidR="00432878" w:rsidRPr="00C63A39" w:rsidRDefault="00432878" w:rsidP="00432878">
            <w:pPr>
              <w:jc w:val="right"/>
              <w:rPr>
                <w:color w:val="000000"/>
                <w:kern w:val="22"/>
                <w:szCs w:val="22"/>
                <w:lang w:val="fr-FR" w:eastAsia="en-CA"/>
              </w:rPr>
            </w:pPr>
            <w:r w:rsidRPr="00C63A39">
              <w:rPr>
                <w:color w:val="000000"/>
                <w:kern w:val="22"/>
                <w:szCs w:val="22"/>
                <w:lang w:eastAsia="en-CA"/>
              </w:rPr>
              <w:t>0.001</w:t>
            </w:r>
          </w:p>
        </w:tc>
        <w:tc>
          <w:tcPr>
            <w:tcW w:w="1547" w:type="dxa"/>
            <w:tcBorders>
              <w:top w:val="nil"/>
              <w:left w:val="nil"/>
              <w:bottom w:val="single" w:sz="4" w:space="0" w:color="auto"/>
              <w:right w:val="single" w:sz="4" w:space="0" w:color="auto"/>
            </w:tcBorders>
            <w:shd w:val="clear" w:color="auto" w:fill="auto"/>
            <w:noWrap/>
            <w:vAlign w:val="center"/>
            <w:hideMark/>
          </w:tcPr>
          <w:p w14:paraId="5DDC5FDB" w14:textId="6B12A877" w:rsidR="00432878" w:rsidRPr="00C63A39" w:rsidRDefault="00432878" w:rsidP="00432878">
            <w:pPr>
              <w:jc w:val="right"/>
              <w:rPr>
                <w:color w:val="000000"/>
                <w:kern w:val="22"/>
                <w:szCs w:val="22"/>
                <w:lang w:val="fr-FR" w:eastAsia="en-CA"/>
              </w:rPr>
            </w:pPr>
            <w:r w:rsidRPr="00C63A39">
              <w:rPr>
                <w:color w:val="000000"/>
                <w:kern w:val="22"/>
                <w:szCs w:val="22"/>
                <w:lang w:eastAsia="en-CA"/>
              </w:rPr>
              <w:t>33</w:t>
            </w:r>
          </w:p>
        </w:tc>
      </w:tr>
      <w:tr w:rsidR="00432878" w:rsidRPr="00C63A39" w14:paraId="6FB6FA01" w14:textId="77777777" w:rsidTr="00A573A7">
        <w:trPr>
          <w:trHeight w:val="301"/>
        </w:trPr>
        <w:tc>
          <w:tcPr>
            <w:tcW w:w="4823" w:type="dxa"/>
            <w:tcBorders>
              <w:top w:val="nil"/>
              <w:left w:val="single" w:sz="4" w:space="0" w:color="auto"/>
              <w:bottom w:val="single" w:sz="4" w:space="0" w:color="auto"/>
              <w:right w:val="single" w:sz="4" w:space="0" w:color="auto"/>
            </w:tcBorders>
            <w:shd w:val="clear" w:color="auto" w:fill="auto"/>
            <w:hideMark/>
          </w:tcPr>
          <w:p w14:paraId="07E5893B" w14:textId="1A1A69DA" w:rsidR="00432878" w:rsidRPr="00C63A39" w:rsidRDefault="00432878" w:rsidP="00432878">
            <w:pPr>
              <w:rPr>
                <w:color w:val="000000"/>
                <w:kern w:val="22"/>
                <w:szCs w:val="22"/>
                <w:lang w:val="fr-FR" w:eastAsia="en-CA"/>
              </w:rPr>
            </w:pPr>
            <w:r w:rsidRPr="00C63A39">
              <w:rPr>
                <w:szCs w:val="22"/>
                <w:lang w:val="fr-FR"/>
              </w:rPr>
              <w:t>Mauritanie</w:t>
            </w:r>
          </w:p>
        </w:tc>
        <w:tc>
          <w:tcPr>
            <w:tcW w:w="1547" w:type="dxa"/>
            <w:tcBorders>
              <w:top w:val="nil"/>
              <w:left w:val="nil"/>
              <w:bottom w:val="single" w:sz="4" w:space="0" w:color="auto"/>
              <w:right w:val="single" w:sz="4" w:space="0" w:color="auto"/>
            </w:tcBorders>
            <w:shd w:val="clear" w:color="auto" w:fill="auto"/>
            <w:vAlign w:val="center"/>
            <w:hideMark/>
          </w:tcPr>
          <w:p w14:paraId="0BCE469F" w14:textId="369FF40A" w:rsidR="00432878" w:rsidRPr="00C63A39" w:rsidRDefault="00432878" w:rsidP="00432878">
            <w:pPr>
              <w:jc w:val="right"/>
              <w:rPr>
                <w:color w:val="000000"/>
                <w:kern w:val="22"/>
                <w:szCs w:val="22"/>
                <w:lang w:val="fr-FR" w:eastAsia="en-CA"/>
              </w:rPr>
            </w:pPr>
            <w:r w:rsidRPr="00C63A39">
              <w:rPr>
                <w:color w:val="000000"/>
                <w:kern w:val="22"/>
                <w:szCs w:val="22"/>
                <w:lang w:eastAsia="en-CA"/>
              </w:rPr>
              <w:t>0.002</w:t>
            </w:r>
          </w:p>
        </w:tc>
        <w:tc>
          <w:tcPr>
            <w:tcW w:w="1547" w:type="dxa"/>
            <w:tcBorders>
              <w:top w:val="nil"/>
              <w:left w:val="nil"/>
              <w:bottom w:val="single" w:sz="4" w:space="0" w:color="auto"/>
              <w:right w:val="single" w:sz="4" w:space="0" w:color="auto"/>
            </w:tcBorders>
            <w:shd w:val="clear" w:color="auto" w:fill="auto"/>
            <w:noWrap/>
            <w:vAlign w:val="center"/>
            <w:hideMark/>
          </w:tcPr>
          <w:p w14:paraId="0377FF5B" w14:textId="139FA6AA" w:rsidR="00432878" w:rsidRPr="00C63A39" w:rsidRDefault="00432878" w:rsidP="00432878">
            <w:pPr>
              <w:jc w:val="right"/>
              <w:rPr>
                <w:color w:val="000000"/>
                <w:kern w:val="22"/>
                <w:szCs w:val="22"/>
                <w:lang w:val="fr-FR" w:eastAsia="en-CA"/>
              </w:rPr>
            </w:pPr>
            <w:r w:rsidRPr="00C63A39">
              <w:rPr>
                <w:color w:val="000000"/>
                <w:kern w:val="22"/>
                <w:szCs w:val="22"/>
                <w:lang w:eastAsia="en-CA"/>
              </w:rPr>
              <w:t>0.003</w:t>
            </w:r>
          </w:p>
        </w:tc>
        <w:tc>
          <w:tcPr>
            <w:tcW w:w="1547" w:type="dxa"/>
            <w:tcBorders>
              <w:top w:val="nil"/>
              <w:left w:val="nil"/>
              <w:bottom w:val="single" w:sz="4" w:space="0" w:color="auto"/>
              <w:right w:val="single" w:sz="4" w:space="0" w:color="auto"/>
            </w:tcBorders>
            <w:shd w:val="clear" w:color="auto" w:fill="auto"/>
            <w:noWrap/>
            <w:vAlign w:val="center"/>
            <w:hideMark/>
          </w:tcPr>
          <w:p w14:paraId="2D8C0560" w14:textId="41F6E511" w:rsidR="00432878" w:rsidRPr="00C63A39" w:rsidRDefault="00432878" w:rsidP="00432878">
            <w:pPr>
              <w:jc w:val="right"/>
              <w:rPr>
                <w:color w:val="000000"/>
                <w:kern w:val="22"/>
                <w:szCs w:val="22"/>
                <w:lang w:val="fr-FR" w:eastAsia="en-CA"/>
              </w:rPr>
            </w:pPr>
            <w:r w:rsidRPr="00C63A39">
              <w:rPr>
                <w:color w:val="000000"/>
                <w:kern w:val="22"/>
                <w:szCs w:val="22"/>
                <w:lang w:eastAsia="en-CA"/>
              </w:rPr>
              <w:t>66</w:t>
            </w:r>
          </w:p>
        </w:tc>
      </w:tr>
      <w:tr w:rsidR="00432878" w:rsidRPr="00C63A39" w14:paraId="23859F3C" w14:textId="77777777" w:rsidTr="00A573A7">
        <w:trPr>
          <w:trHeight w:val="301"/>
        </w:trPr>
        <w:tc>
          <w:tcPr>
            <w:tcW w:w="4823" w:type="dxa"/>
            <w:tcBorders>
              <w:top w:val="nil"/>
              <w:left w:val="single" w:sz="4" w:space="0" w:color="auto"/>
              <w:bottom w:val="single" w:sz="4" w:space="0" w:color="auto"/>
              <w:right w:val="single" w:sz="4" w:space="0" w:color="auto"/>
            </w:tcBorders>
            <w:shd w:val="clear" w:color="auto" w:fill="auto"/>
            <w:hideMark/>
          </w:tcPr>
          <w:p w14:paraId="59A1F92A" w14:textId="10241DA1" w:rsidR="00432878" w:rsidRPr="00C63A39" w:rsidRDefault="00432878" w:rsidP="00432878">
            <w:pPr>
              <w:rPr>
                <w:color w:val="000000"/>
                <w:kern w:val="22"/>
                <w:szCs w:val="22"/>
                <w:lang w:val="fr-FR" w:eastAsia="en-CA"/>
              </w:rPr>
            </w:pPr>
            <w:r w:rsidRPr="00C63A39">
              <w:rPr>
                <w:szCs w:val="22"/>
                <w:lang w:val="fr-FR"/>
              </w:rPr>
              <w:t>Maurice</w:t>
            </w:r>
          </w:p>
        </w:tc>
        <w:tc>
          <w:tcPr>
            <w:tcW w:w="1547" w:type="dxa"/>
            <w:tcBorders>
              <w:top w:val="nil"/>
              <w:left w:val="nil"/>
              <w:bottom w:val="single" w:sz="4" w:space="0" w:color="auto"/>
              <w:right w:val="single" w:sz="4" w:space="0" w:color="auto"/>
            </w:tcBorders>
            <w:shd w:val="clear" w:color="auto" w:fill="auto"/>
            <w:vAlign w:val="center"/>
            <w:hideMark/>
          </w:tcPr>
          <w:p w14:paraId="35E0A364" w14:textId="22A6694E" w:rsidR="00432878" w:rsidRPr="00C63A39" w:rsidRDefault="00432878" w:rsidP="00432878">
            <w:pPr>
              <w:jc w:val="right"/>
              <w:rPr>
                <w:color w:val="000000"/>
                <w:kern w:val="22"/>
                <w:szCs w:val="22"/>
                <w:lang w:val="fr-FR" w:eastAsia="en-CA"/>
              </w:rPr>
            </w:pPr>
            <w:r w:rsidRPr="00C63A39">
              <w:rPr>
                <w:color w:val="000000"/>
                <w:kern w:val="22"/>
                <w:szCs w:val="22"/>
                <w:lang w:eastAsia="en-CA"/>
              </w:rPr>
              <w:t>0.011</w:t>
            </w:r>
          </w:p>
        </w:tc>
        <w:tc>
          <w:tcPr>
            <w:tcW w:w="1547" w:type="dxa"/>
            <w:tcBorders>
              <w:top w:val="nil"/>
              <w:left w:val="nil"/>
              <w:bottom w:val="single" w:sz="4" w:space="0" w:color="auto"/>
              <w:right w:val="single" w:sz="4" w:space="0" w:color="auto"/>
            </w:tcBorders>
            <w:shd w:val="clear" w:color="auto" w:fill="auto"/>
            <w:noWrap/>
            <w:vAlign w:val="center"/>
            <w:hideMark/>
          </w:tcPr>
          <w:p w14:paraId="05E8F2B9" w14:textId="7A181786" w:rsidR="00432878" w:rsidRPr="00C63A39" w:rsidRDefault="00432878" w:rsidP="00432878">
            <w:pPr>
              <w:jc w:val="right"/>
              <w:rPr>
                <w:color w:val="000000"/>
                <w:kern w:val="22"/>
                <w:szCs w:val="22"/>
                <w:lang w:val="fr-FR" w:eastAsia="en-CA"/>
              </w:rPr>
            </w:pPr>
            <w:r w:rsidRPr="00C63A39">
              <w:rPr>
                <w:color w:val="000000"/>
                <w:kern w:val="22"/>
                <w:szCs w:val="22"/>
                <w:lang w:eastAsia="en-CA"/>
              </w:rPr>
              <w:t>0.016</w:t>
            </w:r>
          </w:p>
        </w:tc>
        <w:tc>
          <w:tcPr>
            <w:tcW w:w="1547" w:type="dxa"/>
            <w:tcBorders>
              <w:top w:val="nil"/>
              <w:left w:val="nil"/>
              <w:bottom w:val="single" w:sz="4" w:space="0" w:color="auto"/>
              <w:right w:val="single" w:sz="4" w:space="0" w:color="auto"/>
            </w:tcBorders>
            <w:shd w:val="clear" w:color="auto" w:fill="auto"/>
            <w:noWrap/>
            <w:vAlign w:val="center"/>
            <w:hideMark/>
          </w:tcPr>
          <w:p w14:paraId="54B449F2" w14:textId="2BC59D3B" w:rsidR="00432878" w:rsidRPr="00C63A39" w:rsidRDefault="00432878" w:rsidP="00432878">
            <w:pPr>
              <w:jc w:val="right"/>
              <w:rPr>
                <w:color w:val="000000"/>
                <w:kern w:val="22"/>
                <w:szCs w:val="22"/>
                <w:lang w:val="fr-FR" w:eastAsia="en-CA"/>
              </w:rPr>
            </w:pPr>
            <w:r w:rsidRPr="00C63A39">
              <w:rPr>
                <w:color w:val="000000"/>
                <w:kern w:val="22"/>
                <w:szCs w:val="22"/>
                <w:lang w:eastAsia="en-CA"/>
              </w:rPr>
              <w:t>363</w:t>
            </w:r>
          </w:p>
        </w:tc>
      </w:tr>
      <w:tr w:rsidR="00432878" w:rsidRPr="00C63A39" w14:paraId="39011514" w14:textId="77777777" w:rsidTr="00A573A7">
        <w:trPr>
          <w:trHeight w:val="301"/>
        </w:trPr>
        <w:tc>
          <w:tcPr>
            <w:tcW w:w="4823" w:type="dxa"/>
            <w:tcBorders>
              <w:top w:val="nil"/>
              <w:left w:val="single" w:sz="4" w:space="0" w:color="auto"/>
              <w:bottom w:val="single" w:sz="4" w:space="0" w:color="auto"/>
              <w:right w:val="single" w:sz="4" w:space="0" w:color="auto"/>
            </w:tcBorders>
            <w:shd w:val="clear" w:color="auto" w:fill="auto"/>
            <w:hideMark/>
          </w:tcPr>
          <w:p w14:paraId="583A7DDD" w14:textId="66C5429F" w:rsidR="00432878" w:rsidRPr="00C63A39" w:rsidRDefault="00432878" w:rsidP="00432878">
            <w:pPr>
              <w:rPr>
                <w:color w:val="000000"/>
                <w:kern w:val="22"/>
                <w:szCs w:val="22"/>
                <w:lang w:val="fr-FR" w:eastAsia="en-CA"/>
              </w:rPr>
            </w:pPr>
            <w:r w:rsidRPr="00C63A39">
              <w:rPr>
                <w:szCs w:val="22"/>
                <w:lang w:val="fr-FR"/>
              </w:rPr>
              <w:t>Mexique</w:t>
            </w:r>
          </w:p>
        </w:tc>
        <w:tc>
          <w:tcPr>
            <w:tcW w:w="1547" w:type="dxa"/>
            <w:tcBorders>
              <w:top w:val="nil"/>
              <w:left w:val="nil"/>
              <w:bottom w:val="single" w:sz="4" w:space="0" w:color="auto"/>
              <w:right w:val="single" w:sz="4" w:space="0" w:color="auto"/>
            </w:tcBorders>
            <w:shd w:val="clear" w:color="auto" w:fill="auto"/>
            <w:vAlign w:val="center"/>
            <w:hideMark/>
          </w:tcPr>
          <w:p w14:paraId="56FB628C" w14:textId="10CB7B8B" w:rsidR="00432878" w:rsidRPr="00C63A39" w:rsidRDefault="00432878" w:rsidP="00432878">
            <w:pPr>
              <w:jc w:val="right"/>
              <w:rPr>
                <w:color w:val="000000"/>
                <w:kern w:val="22"/>
                <w:szCs w:val="22"/>
                <w:lang w:val="fr-FR" w:eastAsia="en-CA"/>
              </w:rPr>
            </w:pPr>
            <w:r w:rsidRPr="00C63A39">
              <w:rPr>
                <w:color w:val="000000"/>
                <w:kern w:val="22"/>
                <w:szCs w:val="22"/>
                <w:lang w:eastAsia="en-CA"/>
              </w:rPr>
              <w:t>1.292</w:t>
            </w:r>
          </w:p>
        </w:tc>
        <w:tc>
          <w:tcPr>
            <w:tcW w:w="1547" w:type="dxa"/>
            <w:tcBorders>
              <w:top w:val="nil"/>
              <w:left w:val="nil"/>
              <w:bottom w:val="single" w:sz="4" w:space="0" w:color="auto"/>
              <w:right w:val="single" w:sz="4" w:space="0" w:color="auto"/>
            </w:tcBorders>
            <w:shd w:val="clear" w:color="auto" w:fill="auto"/>
            <w:noWrap/>
            <w:vAlign w:val="center"/>
            <w:hideMark/>
          </w:tcPr>
          <w:p w14:paraId="050077D8" w14:textId="211C07B0" w:rsidR="00432878" w:rsidRPr="00C63A39" w:rsidRDefault="00432878" w:rsidP="00432878">
            <w:pPr>
              <w:jc w:val="right"/>
              <w:rPr>
                <w:color w:val="000000"/>
                <w:kern w:val="22"/>
                <w:szCs w:val="22"/>
                <w:lang w:val="fr-FR" w:eastAsia="en-CA"/>
              </w:rPr>
            </w:pPr>
            <w:r w:rsidRPr="00C63A39">
              <w:rPr>
                <w:color w:val="000000"/>
                <w:kern w:val="22"/>
                <w:szCs w:val="22"/>
                <w:lang w:eastAsia="en-CA"/>
              </w:rPr>
              <w:t>1.846</w:t>
            </w:r>
          </w:p>
        </w:tc>
        <w:tc>
          <w:tcPr>
            <w:tcW w:w="1547" w:type="dxa"/>
            <w:tcBorders>
              <w:top w:val="nil"/>
              <w:left w:val="nil"/>
              <w:bottom w:val="single" w:sz="4" w:space="0" w:color="auto"/>
              <w:right w:val="single" w:sz="4" w:space="0" w:color="auto"/>
            </w:tcBorders>
            <w:shd w:val="clear" w:color="auto" w:fill="auto"/>
            <w:noWrap/>
            <w:vAlign w:val="center"/>
            <w:hideMark/>
          </w:tcPr>
          <w:p w14:paraId="7E024AEB" w14:textId="323E0CCA" w:rsidR="00432878" w:rsidRPr="00C63A39" w:rsidRDefault="00432878" w:rsidP="00432878">
            <w:pPr>
              <w:jc w:val="right"/>
              <w:rPr>
                <w:color w:val="000000"/>
                <w:kern w:val="22"/>
                <w:szCs w:val="22"/>
                <w:lang w:val="fr-FR" w:eastAsia="en-CA"/>
              </w:rPr>
            </w:pPr>
            <w:r w:rsidRPr="00C63A39">
              <w:rPr>
                <w:color w:val="000000"/>
                <w:kern w:val="22"/>
                <w:szCs w:val="22"/>
                <w:lang w:eastAsia="en-CA"/>
              </w:rPr>
              <w:t>42,668</w:t>
            </w:r>
          </w:p>
        </w:tc>
      </w:tr>
      <w:tr w:rsidR="00432878" w:rsidRPr="00C63A39" w14:paraId="1248A9F0" w14:textId="77777777" w:rsidTr="00A573A7">
        <w:trPr>
          <w:trHeight w:val="301"/>
        </w:trPr>
        <w:tc>
          <w:tcPr>
            <w:tcW w:w="4823" w:type="dxa"/>
            <w:tcBorders>
              <w:top w:val="nil"/>
              <w:left w:val="single" w:sz="4" w:space="0" w:color="auto"/>
              <w:bottom w:val="single" w:sz="4" w:space="0" w:color="auto"/>
              <w:right w:val="single" w:sz="4" w:space="0" w:color="auto"/>
            </w:tcBorders>
            <w:shd w:val="clear" w:color="auto" w:fill="auto"/>
            <w:hideMark/>
          </w:tcPr>
          <w:p w14:paraId="799275E8" w14:textId="7B1E40D6" w:rsidR="00432878" w:rsidRPr="00C63A39" w:rsidRDefault="00432878" w:rsidP="00432878">
            <w:pPr>
              <w:rPr>
                <w:color w:val="000000"/>
                <w:kern w:val="22"/>
                <w:szCs w:val="22"/>
                <w:lang w:val="fr-FR" w:eastAsia="en-CA"/>
              </w:rPr>
            </w:pPr>
            <w:r w:rsidRPr="00C63A39">
              <w:rPr>
                <w:szCs w:val="22"/>
                <w:lang w:val="fr-FR"/>
              </w:rPr>
              <w:t>Mongolie</w:t>
            </w:r>
          </w:p>
        </w:tc>
        <w:tc>
          <w:tcPr>
            <w:tcW w:w="1547" w:type="dxa"/>
            <w:tcBorders>
              <w:top w:val="nil"/>
              <w:left w:val="nil"/>
              <w:bottom w:val="single" w:sz="4" w:space="0" w:color="auto"/>
              <w:right w:val="single" w:sz="4" w:space="0" w:color="auto"/>
            </w:tcBorders>
            <w:shd w:val="clear" w:color="auto" w:fill="auto"/>
            <w:vAlign w:val="center"/>
            <w:hideMark/>
          </w:tcPr>
          <w:p w14:paraId="02C236BA" w14:textId="11CE1AD8" w:rsidR="00432878" w:rsidRPr="00C63A39" w:rsidRDefault="00432878" w:rsidP="00432878">
            <w:pPr>
              <w:jc w:val="right"/>
              <w:rPr>
                <w:color w:val="000000"/>
                <w:kern w:val="22"/>
                <w:szCs w:val="22"/>
                <w:lang w:val="fr-FR" w:eastAsia="en-CA"/>
              </w:rPr>
            </w:pPr>
            <w:r w:rsidRPr="00C63A39">
              <w:rPr>
                <w:color w:val="000000"/>
                <w:kern w:val="22"/>
                <w:szCs w:val="22"/>
                <w:lang w:eastAsia="en-CA"/>
              </w:rPr>
              <w:t>0.005</w:t>
            </w:r>
          </w:p>
        </w:tc>
        <w:tc>
          <w:tcPr>
            <w:tcW w:w="1547" w:type="dxa"/>
            <w:tcBorders>
              <w:top w:val="nil"/>
              <w:left w:val="nil"/>
              <w:bottom w:val="single" w:sz="4" w:space="0" w:color="auto"/>
              <w:right w:val="single" w:sz="4" w:space="0" w:color="auto"/>
            </w:tcBorders>
            <w:shd w:val="clear" w:color="auto" w:fill="auto"/>
            <w:noWrap/>
            <w:vAlign w:val="center"/>
            <w:hideMark/>
          </w:tcPr>
          <w:p w14:paraId="6FBA3158" w14:textId="3779314D" w:rsidR="00432878" w:rsidRPr="00C63A39" w:rsidRDefault="00432878" w:rsidP="00432878">
            <w:pPr>
              <w:jc w:val="right"/>
              <w:rPr>
                <w:color w:val="000000"/>
                <w:kern w:val="22"/>
                <w:szCs w:val="22"/>
                <w:lang w:val="fr-FR" w:eastAsia="en-CA"/>
              </w:rPr>
            </w:pPr>
            <w:r w:rsidRPr="00C63A39">
              <w:rPr>
                <w:color w:val="000000"/>
                <w:kern w:val="22"/>
                <w:szCs w:val="22"/>
                <w:lang w:eastAsia="en-CA"/>
              </w:rPr>
              <w:t>0.007</w:t>
            </w:r>
          </w:p>
        </w:tc>
        <w:tc>
          <w:tcPr>
            <w:tcW w:w="1547" w:type="dxa"/>
            <w:tcBorders>
              <w:top w:val="nil"/>
              <w:left w:val="nil"/>
              <w:bottom w:val="single" w:sz="4" w:space="0" w:color="auto"/>
              <w:right w:val="single" w:sz="4" w:space="0" w:color="auto"/>
            </w:tcBorders>
            <w:shd w:val="clear" w:color="auto" w:fill="auto"/>
            <w:noWrap/>
            <w:vAlign w:val="center"/>
            <w:hideMark/>
          </w:tcPr>
          <w:p w14:paraId="5503EA84" w14:textId="2428FA1D" w:rsidR="00432878" w:rsidRPr="00C63A39" w:rsidRDefault="00432878" w:rsidP="00432878">
            <w:pPr>
              <w:jc w:val="right"/>
              <w:rPr>
                <w:color w:val="000000"/>
                <w:kern w:val="22"/>
                <w:szCs w:val="22"/>
                <w:lang w:val="fr-FR" w:eastAsia="en-CA"/>
              </w:rPr>
            </w:pPr>
            <w:r w:rsidRPr="00C63A39">
              <w:rPr>
                <w:color w:val="000000"/>
                <w:kern w:val="22"/>
                <w:szCs w:val="22"/>
                <w:lang w:eastAsia="en-CA"/>
              </w:rPr>
              <w:t>165</w:t>
            </w:r>
          </w:p>
        </w:tc>
      </w:tr>
      <w:tr w:rsidR="00432878" w:rsidRPr="00C63A39" w14:paraId="32A01A44" w14:textId="77777777" w:rsidTr="00A573A7">
        <w:trPr>
          <w:trHeight w:val="301"/>
        </w:trPr>
        <w:tc>
          <w:tcPr>
            <w:tcW w:w="4823" w:type="dxa"/>
            <w:tcBorders>
              <w:top w:val="nil"/>
              <w:left w:val="single" w:sz="4" w:space="0" w:color="auto"/>
              <w:bottom w:val="single" w:sz="4" w:space="0" w:color="auto"/>
              <w:right w:val="single" w:sz="4" w:space="0" w:color="auto"/>
            </w:tcBorders>
            <w:shd w:val="clear" w:color="auto" w:fill="auto"/>
            <w:hideMark/>
          </w:tcPr>
          <w:p w14:paraId="08AC29D1" w14:textId="6A6A0A6B" w:rsidR="00432878" w:rsidRPr="00C63A39" w:rsidRDefault="00432878" w:rsidP="00432878">
            <w:pPr>
              <w:rPr>
                <w:color w:val="000000"/>
                <w:kern w:val="22"/>
                <w:szCs w:val="22"/>
                <w:lang w:val="fr-FR" w:eastAsia="en-CA"/>
              </w:rPr>
            </w:pPr>
            <w:r w:rsidRPr="00C63A39">
              <w:rPr>
                <w:szCs w:val="22"/>
                <w:lang w:val="fr-FR"/>
              </w:rPr>
              <w:t>Monténégro</w:t>
            </w:r>
          </w:p>
        </w:tc>
        <w:tc>
          <w:tcPr>
            <w:tcW w:w="1547" w:type="dxa"/>
            <w:tcBorders>
              <w:top w:val="nil"/>
              <w:left w:val="nil"/>
              <w:bottom w:val="single" w:sz="4" w:space="0" w:color="auto"/>
              <w:right w:val="single" w:sz="4" w:space="0" w:color="auto"/>
            </w:tcBorders>
            <w:shd w:val="clear" w:color="auto" w:fill="auto"/>
            <w:vAlign w:val="center"/>
            <w:hideMark/>
          </w:tcPr>
          <w:p w14:paraId="4FCCF14B" w14:textId="2448F94E" w:rsidR="00432878" w:rsidRPr="00C63A39" w:rsidRDefault="00432878" w:rsidP="00432878">
            <w:pPr>
              <w:jc w:val="right"/>
              <w:rPr>
                <w:color w:val="000000"/>
                <w:kern w:val="22"/>
                <w:szCs w:val="22"/>
                <w:lang w:val="fr-FR" w:eastAsia="en-CA"/>
              </w:rPr>
            </w:pPr>
            <w:r w:rsidRPr="00C63A39">
              <w:rPr>
                <w:color w:val="000000"/>
                <w:kern w:val="22"/>
                <w:szCs w:val="22"/>
                <w:lang w:eastAsia="en-CA"/>
              </w:rPr>
              <w:t>0.004</w:t>
            </w:r>
          </w:p>
        </w:tc>
        <w:tc>
          <w:tcPr>
            <w:tcW w:w="1547" w:type="dxa"/>
            <w:tcBorders>
              <w:top w:val="nil"/>
              <w:left w:val="nil"/>
              <w:bottom w:val="single" w:sz="4" w:space="0" w:color="auto"/>
              <w:right w:val="single" w:sz="4" w:space="0" w:color="auto"/>
            </w:tcBorders>
            <w:shd w:val="clear" w:color="auto" w:fill="auto"/>
            <w:noWrap/>
            <w:vAlign w:val="center"/>
            <w:hideMark/>
          </w:tcPr>
          <w:p w14:paraId="0451B732" w14:textId="38A63508" w:rsidR="00432878" w:rsidRPr="00C63A39" w:rsidRDefault="00432878" w:rsidP="00432878">
            <w:pPr>
              <w:jc w:val="right"/>
              <w:rPr>
                <w:color w:val="000000"/>
                <w:kern w:val="22"/>
                <w:szCs w:val="22"/>
                <w:lang w:val="fr-FR" w:eastAsia="en-CA"/>
              </w:rPr>
            </w:pPr>
            <w:r w:rsidRPr="00C63A39">
              <w:rPr>
                <w:color w:val="000000"/>
                <w:kern w:val="22"/>
                <w:szCs w:val="22"/>
                <w:lang w:eastAsia="en-CA"/>
              </w:rPr>
              <w:t>0.006</w:t>
            </w:r>
          </w:p>
        </w:tc>
        <w:tc>
          <w:tcPr>
            <w:tcW w:w="1547" w:type="dxa"/>
            <w:tcBorders>
              <w:top w:val="nil"/>
              <w:left w:val="nil"/>
              <w:bottom w:val="single" w:sz="4" w:space="0" w:color="auto"/>
              <w:right w:val="single" w:sz="4" w:space="0" w:color="auto"/>
            </w:tcBorders>
            <w:shd w:val="clear" w:color="auto" w:fill="auto"/>
            <w:noWrap/>
            <w:vAlign w:val="center"/>
            <w:hideMark/>
          </w:tcPr>
          <w:p w14:paraId="4DEDB0AF" w14:textId="410DFA27" w:rsidR="00432878" w:rsidRPr="00C63A39" w:rsidRDefault="00432878" w:rsidP="00432878">
            <w:pPr>
              <w:jc w:val="right"/>
              <w:rPr>
                <w:color w:val="000000"/>
                <w:kern w:val="22"/>
                <w:szCs w:val="22"/>
                <w:lang w:val="fr-FR" w:eastAsia="en-CA"/>
              </w:rPr>
            </w:pPr>
            <w:r w:rsidRPr="00C63A39">
              <w:rPr>
                <w:color w:val="000000"/>
                <w:kern w:val="22"/>
                <w:szCs w:val="22"/>
                <w:lang w:eastAsia="en-CA"/>
              </w:rPr>
              <w:t>132</w:t>
            </w:r>
          </w:p>
        </w:tc>
      </w:tr>
      <w:tr w:rsidR="00432878" w:rsidRPr="00C63A39" w14:paraId="3BE2AC9A" w14:textId="77777777" w:rsidTr="00A573A7">
        <w:trPr>
          <w:trHeight w:val="301"/>
        </w:trPr>
        <w:tc>
          <w:tcPr>
            <w:tcW w:w="4823" w:type="dxa"/>
            <w:tcBorders>
              <w:top w:val="nil"/>
              <w:left w:val="single" w:sz="4" w:space="0" w:color="auto"/>
              <w:bottom w:val="single" w:sz="4" w:space="0" w:color="auto"/>
              <w:right w:val="single" w:sz="4" w:space="0" w:color="auto"/>
            </w:tcBorders>
            <w:shd w:val="clear" w:color="auto" w:fill="auto"/>
            <w:hideMark/>
          </w:tcPr>
          <w:p w14:paraId="431C83BC" w14:textId="0E5F830E" w:rsidR="00432878" w:rsidRPr="00C63A39" w:rsidRDefault="00432878" w:rsidP="00432878">
            <w:pPr>
              <w:rPr>
                <w:color w:val="000000"/>
                <w:kern w:val="22"/>
                <w:szCs w:val="22"/>
                <w:lang w:val="fr-FR" w:eastAsia="en-CA"/>
              </w:rPr>
            </w:pPr>
            <w:r w:rsidRPr="00C63A39">
              <w:rPr>
                <w:szCs w:val="22"/>
                <w:lang w:val="fr-FR"/>
              </w:rPr>
              <w:t>Maroc</w:t>
            </w:r>
          </w:p>
        </w:tc>
        <w:tc>
          <w:tcPr>
            <w:tcW w:w="1547" w:type="dxa"/>
            <w:tcBorders>
              <w:top w:val="nil"/>
              <w:left w:val="nil"/>
              <w:bottom w:val="single" w:sz="4" w:space="0" w:color="auto"/>
              <w:right w:val="single" w:sz="4" w:space="0" w:color="auto"/>
            </w:tcBorders>
            <w:shd w:val="clear" w:color="auto" w:fill="auto"/>
            <w:vAlign w:val="center"/>
            <w:hideMark/>
          </w:tcPr>
          <w:p w14:paraId="37F6A5C1" w14:textId="21848146" w:rsidR="00432878" w:rsidRPr="00C63A39" w:rsidRDefault="00432878" w:rsidP="00432878">
            <w:pPr>
              <w:jc w:val="right"/>
              <w:rPr>
                <w:color w:val="000000"/>
                <w:kern w:val="22"/>
                <w:szCs w:val="22"/>
                <w:lang w:val="fr-FR" w:eastAsia="en-CA"/>
              </w:rPr>
            </w:pPr>
            <w:r w:rsidRPr="00C63A39">
              <w:rPr>
                <w:color w:val="000000"/>
                <w:kern w:val="22"/>
                <w:szCs w:val="22"/>
                <w:lang w:eastAsia="en-CA"/>
              </w:rPr>
              <w:t>0.055</w:t>
            </w:r>
          </w:p>
        </w:tc>
        <w:tc>
          <w:tcPr>
            <w:tcW w:w="1547" w:type="dxa"/>
            <w:tcBorders>
              <w:top w:val="nil"/>
              <w:left w:val="nil"/>
              <w:bottom w:val="single" w:sz="4" w:space="0" w:color="auto"/>
              <w:right w:val="single" w:sz="4" w:space="0" w:color="auto"/>
            </w:tcBorders>
            <w:shd w:val="clear" w:color="auto" w:fill="auto"/>
            <w:noWrap/>
            <w:vAlign w:val="center"/>
            <w:hideMark/>
          </w:tcPr>
          <w:p w14:paraId="0C41AA85" w14:textId="48F95852" w:rsidR="00432878" w:rsidRPr="00C63A39" w:rsidRDefault="00432878" w:rsidP="00432878">
            <w:pPr>
              <w:jc w:val="right"/>
              <w:rPr>
                <w:color w:val="000000"/>
                <w:kern w:val="22"/>
                <w:szCs w:val="22"/>
                <w:lang w:val="fr-FR" w:eastAsia="en-CA"/>
              </w:rPr>
            </w:pPr>
            <w:r w:rsidRPr="00C63A39">
              <w:rPr>
                <w:color w:val="000000"/>
                <w:kern w:val="22"/>
                <w:szCs w:val="22"/>
                <w:lang w:eastAsia="en-CA"/>
              </w:rPr>
              <w:t>0.079</w:t>
            </w:r>
          </w:p>
        </w:tc>
        <w:tc>
          <w:tcPr>
            <w:tcW w:w="1547" w:type="dxa"/>
            <w:tcBorders>
              <w:top w:val="nil"/>
              <w:left w:val="nil"/>
              <w:bottom w:val="single" w:sz="4" w:space="0" w:color="auto"/>
              <w:right w:val="single" w:sz="4" w:space="0" w:color="auto"/>
            </w:tcBorders>
            <w:shd w:val="clear" w:color="auto" w:fill="auto"/>
            <w:noWrap/>
            <w:vAlign w:val="center"/>
            <w:hideMark/>
          </w:tcPr>
          <w:p w14:paraId="4E3755C8" w14:textId="3950747D" w:rsidR="00432878" w:rsidRPr="00C63A39" w:rsidRDefault="00432878" w:rsidP="00432878">
            <w:pPr>
              <w:jc w:val="right"/>
              <w:rPr>
                <w:color w:val="000000"/>
                <w:kern w:val="22"/>
                <w:szCs w:val="22"/>
                <w:lang w:val="fr-FR" w:eastAsia="en-CA"/>
              </w:rPr>
            </w:pPr>
            <w:r w:rsidRPr="00C63A39">
              <w:rPr>
                <w:color w:val="000000"/>
                <w:kern w:val="22"/>
                <w:szCs w:val="22"/>
                <w:lang w:eastAsia="en-CA"/>
              </w:rPr>
              <w:t>1,816</w:t>
            </w:r>
          </w:p>
        </w:tc>
      </w:tr>
      <w:tr w:rsidR="00432878" w:rsidRPr="00C63A39" w14:paraId="0814B25C" w14:textId="77777777" w:rsidTr="00A573A7">
        <w:trPr>
          <w:trHeight w:val="301"/>
        </w:trPr>
        <w:tc>
          <w:tcPr>
            <w:tcW w:w="4823" w:type="dxa"/>
            <w:tcBorders>
              <w:top w:val="nil"/>
              <w:left w:val="single" w:sz="4" w:space="0" w:color="auto"/>
              <w:bottom w:val="single" w:sz="4" w:space="0" w:color="auto"/>
              <w:right w:val="single" w:sz="4" w:space="0" w:color="auto"/>
            </w:tcBorders>
            <w:shd w:val="clear" w:color="auto" w:fill="auto"/>
            <w:hideMark/>
          </w:tcPr>
          <w:p w14:paraId="02046CB6" w14:textId="2C5CBE87" w:rsidR="00432878" w:rsidRPr="00C63A39" w:rsidRDefault="00432878" w:rsidP="00432878">
            <w:pPr>
              <w:rPr>
                <w:color w:val="000000"/>
                <w:kern w:val="22"/>
                <w:szCs w:val="22"/>
                <w:lang w:val="fr-FR" w:eastAsia="en-CA"/>
              </w:rPr>
            </w:pPr>
            <w:r w:rsidRPr="00C63A39">
              <w:rPr>
                <w:szCs w:val="22"/>
                <w:lang w:val="fr-FR"/>
              </w:rPr>
              <w:t>Mozambique</w:t>
            </w:r>
          </w:p>
        </w:tc>
        <w:tc>
          <w:tcPr>
            <w:tcW w:w="1547" w:type="dxa"/>
            <w:tcBorders>
              <w:top w:val="nil"/>
              <w:left w:val="nil"/>
              <w:bottom w:val="single" w:sz="4" w:space="0" w:color="auto"/>
              <w:right w:val="single" w:sz="4" w:space="0" w:color="auto"/>
            </w:tcBorders>
            <w:shd w:val="clear" w:color="auto" w:fill="auto"/>
            <w:vAlign w:val="center"/>
            <w:hideMark/>
          </w:tcPr>
          <w:p w14:paraId="7ECB30A5" w14:textId="1463419E" w:rsidR="00432878" w:rsidRPr="00C63A39" w:rsidRDefault="00432878" w:rsidP="00432878">
            <w:pPr>
              <w:jc w:val="right"/>
              <w:rPr>
                <w:color w:val="000000"/>
                <w:kern w:val="22"/>
                <w:szCs w:val="22"/>
                <w:lang w:val="fr-FR" w:eastAsia="en-CA"/>
              </w:rPr>
            </w:pPr>
            <w:r w:rsidRPr="00C63A39">
              <w:rPr>
                <w:color w:val="000000"/>
                <w:kern w:val="22"/>
                <w:szCs w:val="22"/>
                <w:lang w:eastAsia="en-CA"/>
              </w:rPr>
              <w:t>0.004</w:t>
            </w:r>
          </w:p>
        </w:tc>
        <w:tc>
          <w:tcPr>
            <w:tcW w:w="1547" w:type="dxa"/>
            <w:tcBorders>
              <w:top w:val="nil"/>
              <w:left w:val="nil"/>
              <w:bottom w:val="single" w:sz="4" w:space="0" w:color="auto"/>
              <w:right w:val="single" w:sz="4" w:space="0" w:color="auto"/>
            </w:tcBorders>
            <w:shd w:val="clear" w:color="auto" w:fill="auto"/>
            <w:noWrap/>
            <w:vAlign w:val="center"/>
            <w:hideMark/>
          </w:tcPr>
          <w:p w14:paraId="5416226D" w14:textId="293961E3" w:rsidR="00432878" w:rsidRPr="00C63A39" w:rsidRDefault="00432878" w:rsidP="00432878">
            <w:pPr>
              <w:jc w:val="right"/>
              <w:rPr>
                <w:color w:val="000000"/>
                <w:kern w:val="22"/>
                <w:szCs w:val="22"/>
                <w:lang w:val="fr-FR" w:eastAsia="en-CA"/>
              </w:rPr>
            </w:pPr>
            <w:r w:rsidRPr="00C63A39">
              <w:rPr>
                <w:color w:val="000000"/>
                <w:kern w:val="22"/>
                <w:szCs w:val="22"/>
                <w:lang w:eastAsia="en-CA"/>
              </w:rPr>
              <w:t>0.006</w:t>
            </w:r>
          </w:p>
        </w:tc>
        <w:tc>
          <w:tcPr>
            <w:tcW w:w="1547" w:type="dxa"/>
            <w:tcBorders>
              <w:top w:val="nil"/>
              <w:left w:val="nil"/>
              <w:bottom w:val="single" w:sz="4" w:space="0" w:color="auto"/>
              <w:right w:val="single" w:sz="4" w:space="0" w:color="auto"/>
            </w:tcBorders>
            <w:shd w:val="clear" w:color="auto" w:fill="auto"/>
            <w:noWrap/>
            <w:vAlign w:val="center"/>
            <w:hideMark/>
          </w:tcPr>
          <w:p w14:paraId="7033A382" w14:textId="098F5315" w:rsidR="00432878" w:rsidRPr="00C63A39" w:rsidRDefault="00432878" w:rsidP="00432878">
            <w:pPr>
              <w:jc w:val="right"/>
              <w:rPr>
                <w:color w:val="000000"/>
                <w:kern w:val="22"/>
                <w:szCs w:val="22"/>
                <w:lang w:val="fr-FR" w:eastAsia="en-CA"/>
              </w:rPr>
            </w:pPr>
            <w:r w:rsidRPr="00C63A39">
              <w:rPr>
                <w:color w:val="000000"/>
                <w:kern w:val="22"/>
                <w:szCs w:val="22"/>
                <w:lang w:eastAsia="en-CA"/>
              </w:rPr>
              <w:t>132</w:t>
            </w:r>
          </w:p>
        </w:tc>
      </w:tr>
      <w:tr w:rsidR="00A573A7" w:rsidRPr="00C63A39" w14:paraId="7D2764C6" w14:textId="77777777" w:rsidTr="00A573A7">
        <w:trPr>
          <w:trHeight w:val="301"/>
        </w:trPr>
        <w:tc>
          <w:tcPr>
            <w:tcW w:w="4823" w:type="dxa"/>
            <w:tcBorders>
              <w:top w:val="nil"/>
              <w:left w:val="single" w:sz="4" w:space="0" w:color="auto"/>
              <w:bottom w:val="single" w:sz="4" w:space="0" w:color="auto"/>
              <w:right w:val="single" w:sz="4" w:space="0" w:color="auto"/>
            </w:tcBorders>
            <w:shd w:val="clear" w:color="auto" w:fill="auto"/>
          </w:tcPr>
          <w:p w14:paraId="597C76E9" w14:textId="2F7DDE04" w:rsidR="00A573A7" w:rsidRPr="00C63A39" w:rsidRDefault="00A573A7" w:rsidP="00A573A7">
            <w:pPr>
              <w:rPr>
                <w:szCs w:val="22"/>
                <w:lang w:val="fr-FR"/>
              </w:rPr>
            </w:pPr>
            <w:r w:rsidRPr="00C63A39">
              <w:rPr>
                <w:szCs w:val="22"/>
                <w:lang w:val="fr-FR"/>
              </w:rPr>
              <w:t>Myanmar</w:t>
            </w:r>
          </w:p>
        </w:tc>
        <w:tc>
          <w:tcPr>
            <w:tcW w:w="1547" w:type="dxa"/>
            <w:tcBorders>
              <w:top w:val="nil"/>
              <w:left w:val="nil"/>
              <w:bottom w:val="single" w:sz="4" w:space="0" w:color="auto"/>
              <w:right w:val="single" w:sz="4" w:space="0" w:color="auto"/>
            </w:tcBorders>
            <w:shd w:val="clear" w:color="auto" w:fill="auto"/>
            <w:vAlign w:val="center"/>
          </w:tcPr>
          <w:p w14:paraId="16EAAF9A" w14:textId="53C71A7F" w:rsidR="00A573A7" w:rsidRPr="00C63A39" w:rsidRDefault="00A573A7" w:rsidP="00A573A7">
            <w:pPr>
              <w:jc w:val="right"/>
              <w:rPr>
                <w:color w:val="000000"/>
                <w:kern w:val="22"/>
                <w:szCs w:val="22"/>
                <w:lang w:eastAsia="en-CA"/>
              </w:rPr>
            </w:pPr>
            <w:r w:rsidRPr="00C63A39">
              <w:rPr>
                <w:color w:val="000000"/>
                <w:kern w:val="22"/>
                <w:szCs w:val="22"/>
                <w:lang w:eastAsia="en-CA"/>
              </w:rPr>
              <w:t>0.010</w:t>
            </w:r>
          </w:p>
        </w:tc>
        <w:tc>
          <w:tcPr>
            <w:tcW w:w="1547" w:type="dxa"/>
            <w:tcBorders>
              <w:top w:val="nil"/>
              <w:left w:val="nil"/>
              <w:bottom w:val="single" w:sz="4" w:space="0" w:color="auto"/>
              <w:right w:val="single" w:sz="4" w:space="0" w:color="auto"/>
            </w:tcBorders>
            <w:shd w:val="clear" w:color="auto" w:fill="auto"/>
            <w:noWrap/>
            <w:vAlign w:val="center"/>
          </w:tcPr>
          <w:p w14:paraId="445F558D" w14:textId="18506058" w:rsidR="00A573A7" w:rsidRPr="00C63A39" w:rsidRDefault="00A573A7" w:rsidP="00A573A7">
            <w:pPr>
              <w:jc w:val="right"/>
              <w:rPr>
                <w:color w:val="000000"/>
                <w:kern w:val="22"/>
                <w:szCs w:val="22"/>
                <w:lang w:eastAsia="en-CA"/>
              </w:rPr>
            </w:pPr>
            <w:r w:rsidRPr="00C63A39">
              <w:rPr>
                <w:color w:val="000000"/>
                <w:kern w:val="22"/>
                <w:szCs w:val="22"/>
                <w:lang w:eastAsia="en-CA"/>
              </w:rPr>
              <w:t>0.010</w:t>
            </w:r>
          </w:p>
        </w:tc>
        <w:tc>
          <w:tcPr>
            <w:tcW w:w="1547" w:type="dxa"/>
            <w:tcBorders>
              <w:top w:val="nil"/>
              <w:left w:val="nil"/>
              <w:bottom w:val="single" w:sz="4" w:space="0" w:color="auto"/>
              <w:right w:val="single" w:sz="4" w:space="0" w:color="auto"/>
            </w:tcBorders>
            <w:shd w:val="clear" w:color="auto" w:fill="auto"/>
            <w:noWrap/>
            <w:vAlign w:val="center"/>
          </w:tcPr>
          <w:p w14:paraId="1861DB51" w14:textId="5E8CD128" w:rsidR="00A573A7" w:rsidRPr="00C63A39" w:rsidRDefault="00A573A7" w:rsidP="00A573A7">
            <w:pPr>
              <w:jc w:val="right"/>
              <w:rPr>
                <w:color w:val="000000"/>
                <w:kern w:val="22"/>
                <w:szCs w:val="22"/>
                <w:lang w:eastAsia="en-CA"/>
              </w:rPr>
            </w:pPr>
            <w:r w:rsidRPr="00C63A39">
              <w:rPr>
                <w:color w:val="000000"/>
                <w:kern w:val="22"/>
                <w:szCs w:val="22"/>
                <w:lang w:eastAsia="en-CA"/>
              </w:rPr>
              <w:t>231</w:t>
            </w:r>
          </w:p>
        </w:tc>
      </w:tr>
      <w:tr w:rsidR="00A573A7" w:rsidRPr="00C63A39" w14:paraId="052D58AD" w14:textId="77777777" w:rsidTr="00A573A7">
        <w:trPr>
          <w:trHeight w:val="301"/>
        </w:trPr>
        <w:tc>
          <w:tcPr>
            <w:tcW w:w="4823" w:type="dxa"/>
            <w:tcBorders>
              <w:top w:val="nil"/>
              <w:left w:val="single" w:sz="4" w:space="0" w:color="auto"/>
              <w:bottom w:val="single" w:sz="4" w:space="0" w:color="auto"/>
              <w:right w:val="single" w:sz="4" w:space="0" w:color="auto"/>
            </w:tcBorders>
            <w:shd w:val="clear" w:color="auto" w:fill="auto"/>
            <w:hideMark/>
          </w:tcPr>
          <w:p w14:paraId="1D0B17EA" w14:textId="4030910F" w:rsidR="00A573A7" w:rsidRPr="00C63A39" w:rsidRDefault="00A573A7" w:rsidP="00A573A7">
            <w:pPr>
              <w:rPr>
                <w:color w:val="000000"/>
                <w:kern w:val="22"/>
                <w:szCs w:val="22"/>
                <w:lang w:val="fr-FR" w:eastAsia="en-CA"/>
              </w:rPr>
            </w:pPr>
            <w:r w:rsidRPr="00C63A39">
              <w:rPr>
                <w:szCs w:val="22"/>
                <w:lang w:val="fr-FR"/>
              </w:rPr>
              <w:t>Namibie</w:t>
            </w:r>
          </w:p>
        </w:tc>
        <w:tc>
          <w:tcPr>
            <w:tcW w:w="1547" w:type="dxa"/>
            <w:tcBorders>
              <w:top w:val="nil"/>
              <w:left w:val="nil"/>
              <w:bottom w:val="single" w:sz="4" w:space="0" w:color="auto"/>
              <w:right w:val="single" w:sz="4" w:space="0" w:color="auto"/>
            </w:tcBorders>
            <w:shd w:val="clear" w:color="auto" w:fill="auto"/>
            <w:vAlign w:val="center"/>
            <w:hideMark/>
          </w:tcPr>
          <w:p w14:paraId="4DA13117" w14:textId="5F08DD5F" w:rsidR="00A573A7" w:rsidRPr="00C63A39" w:rsidRDefault="00A573A7" w:rsidP="00A573A7">
            <w:pPr>
              <w:jc w:val="right"/>
              <w:rPr>
                <w:color w:val="000000"/>
                <w:kern w:val="22"/>
                <w:szCs w:val="22"/>
                <w:lang w:val="fr-FR" w:eastAsia="en-CA"/>
              </w:rPr>
            </w:pPr>
            <w:r w:rsidRPr="00C63A39">
              <w:rPr>
                <w:color w:val="000000"/>
                <w:kern w:val="22"/>
                <w:szCs w:val="22"/>
                <w:lang w:eastAsia="en-CA"/>
              </w:rPr>
              <w:t>0.009</w:t>
            </w:r>
          </w:p>
        </w:tc>
        <w:tc>
          <w:tcPr>
            <w:tcW w:w="1547" w:type="dxa"/>
            <w:tcBorders>
              <w:top w:val="nil"/>
              <w:left w:val="nil"/>
              <w:bottom w:val="single" w:sz="4" w:space="0" w:color="auto"/>
              <w:right w:val="single" w:sz="4" w:space="0" w:color="auto"/>
            </w:tcBorders>
            <w:shd w:val="clear" w:color="auto" w:fill="auto"/>
            <w:noWrap/>
            <w:vAlign w:val="center"/>
            <w:hideMark/>
          </w:tcPr>
          <w:p w14:paraId="3BE52B54" w14:textId="081CB14C" w:rsidR="00A573A7" w:rsidRPr="00C63A39" w:rsidRDefault="00A573A7" w:rsidP="00A573A7">
            <w:pPr>
              <w:jc w:val="right"/>
              <w:rPr>
                <w:color w:val="000000"/>
                <w:kern w:val="22"/>
                <w:szCs w:val="22"/>
                <w:lang w:val="fr-FR" w:eastAsia="en-CA"/>
              </w:rPr>
            </w:pPr>
            <w:r w:rsidRPr="00C63A39">
              <w:rPr>
                <w:color w:val="000000"/>
                <w:kern w:val="22"/>
                <w:szCs w:val="22"/>
                <w:lang w:eastAsia="en-CA"/>
              </w:rPr>
              <w:t>0.013</w:t>
            </w:r>
          </w:p>
        </w:tc>
        <w:tc>
          <w:tcPr>
            <w:tcW w:w="1547" w:type="dxa"/>
            <w:tcBorders>
              <w:top w:val="nil"/>
              <w:left w:val="nil"/>
              <w:bottom w:val="single" w:sz="4" w:space="0" w:color="auto"/>
              <w:right w:val="single" w:sz="4" w:space="0" w:color="auto"/>
            </w:tcBorders>
            <w:shd w:val="clear" w:color="auto" w:fill="auto"/>
            <w:noWrap/>
            <w:vAlign w:val="center"/>
            <w:hideMark/>
          </w:tcPr>
          <w:p w14:paraId="61BC058A" w14:textId="2473DA63" w:rsidR="00A573A7" w:rsidRPr="00C63A39" w:rsidRDefault="00A573A7" w:rsidP="00A573A7">
            <w:pPr>
              <w:jc w:val="right"/>
              <w:rPr>
                <w:color w:val="000000"/>
                <w:kern w:val="22"/>
                <w:szCs w:val="22"/>
                <w:lang w:val="fr-FR" w:eastAsia="en-CA"/>
              </w:rPr>
            </w:pPr>
            <w:r w:rsidRPr="00C63A39">
              <w:rPr>
                <w:color w:val="000000"/>
                <w:kern w:val="22"/>
                <w:szCs w:val="22"/>
                <w:lang w:eastAsia="en-CA"/>
              </w:rPr>
              <w:t>297</w:t>
            </w:r>
          </w:p>
        </w:tc>
      </w:tr>
      <w:tr w:rsidR="00A573A7" w:rsidRPr="00C63A39" w14:paraId="35D2A3DB" w14:textId="77777777" w:rsidTr="00A573A7">
        <w:trPr>
          <w:trHeight w:val="301"/>
        </w:trPr>
        <w:tc>
          <w:tcPr>
            <w:tcW w:w="4823" w:type="dxa"/>
            <w:tcBorders>
              <w:top w:val="nil"/>
              <w:left w:val="single" w:sz="4" w:space="0" w:color="auto"/>
              <w:bottom w:val="single" w:sz="4" w:space="0" w:color="auto"/>
              <w:right w:val="single" w:sz="4" w:space="0" w:color="auto"/>
            </w:tcBorders>
            <w:shd w:val="clear" w:color="auto" w:fill="auto"/>
          </w:tcPr>
          <w:p w14:paraId="5080F74C" w14:textId="184CB06B" w:rsidR="00A573A7" w:rsidRPr="00C63A39" w:rsidRDefault="00A573A7" w:rsidP="00A573A7">
            <w:pPr>
              <w:rPr>
                <w:szCs w:val="22"/>
                <w:lang w:val="fr-FR"/>
              </w:rPr>
            </w:pPr>
            <w:r w:rsidRPr="00C63A39">
              <w:rPr>
                <w:szCs w:val="22"/>
                <w:lang w:val="fr-FR"/>
              </w:rPr>
              <w:t>Nauru</w:t>
            </w:r>
          </w:p>
        </w:tc>
        <w:tc>
          <w:tcPr>
            <w:tcW w:w="1547" w:type="dxa"/>
            <w:tcBorders>
              <w:top w:val="nil"/>
              <w:left w:val="nil"/>
              <w:bottom w:val="single" w:sz="4" w:space="0" w:color="auto"/>
              <w:right w:val="single" w:sz="4" w:space="0" w:color="auto"/>
            </w:tcBorders>
            <w:shd w:val="clear" w:color="auto" w:fill="auto"/>
            <w:vAlign w:val="center"/>
          </w:tcPr>
          <w:p w14:paraId="7E9BF4D9" w14:textId="0B8DD478" w:rsidR="00A573A7" w:rsidRPr="00C63A39" w:rsidRDefault="00A573A7" w:rsidP="00A573A7">
            <w:pPr>
              <w:jc w:val="right"/>
              <w:rPr>
                <w:color w:val="000000"/>
                <w:kern w:val="22"/>
                <w:szCs w:val="22"/>
                <w:lang w:eastAsia="en-CA"/>
              </w:rPr>
            </w:pPr>
            <w:r w:rsidRPr="00C63A39">
              <w:rPr>
                <w:color w:val="000000"/>
                <w:kern w:val="22"/>
                <w:szCs w:val="22"/>
                <w:lang w:eastAsia="en-CA"/>
              </w:rPr>
              <w:t>0.001</w:t>
            </w:r>
          </w:p>
        </w:tc>
        <w:tc>
          <w:tcPr>
            <w:tcW w:w="1547" w:type="dxa"/>
            <w:tcBorders>
              <w:top w:val="nil"/>
              <w:left w:val="nil"/>
              <w:bottom w:val="single" w:sz="4" w:space="0" w:color="auto"/>
              <w:right w:val="single" w:sz="4" w:space="0" w:color="auto"/>
            </w:tcBorders>
            <w:shd w:val="clear" w:color="auto" w:fill="auto"/>
            <w:noWrap/>
            <w:vAlign w:val="center"/>
          </w:tcPr>
          <w:p w14:paraId="400D2BA8" w14:textId="5B1CC487" w:rsidR="00A573A7" w:rsidRPr="00C63A39" w:rsidRDefault="00A573A7" w:rsidP="00A573A7">
            <w:pPr>
              <w:jc w:val="right"/>
              <w:rPr>
                <w:color w:val="000000"/>
                <w:kern w:val="22"/>
                <w:szCs w:val="22"/>
                <w:lang w:eastAsia="en-CA"/>
              </w:rPr>
            </w:pPr>
            <w:r w:rsidRPr="00C63A39">
              <w:rPr>
                <w:color w:val="000000"/>
                <w:kern w:val="22"/>
                <w:szCs w:val="22"/>
                <w:lang w:eastAsia="en-CA"/>
              </w:rPr>
              <w:t>0.001</w:t>
            </w:r>
          </w:p>
        </w:tc>
        <w:tc>
          <w:tcPr>
            <w:tcW w:w="1547" w:type="dxa"/>
            <w:tcBorders>
              <w:top w:val="nil"/>
              <w:left w:val="nil"/>
              <w:bottom w:val="single" w:sz="4" w:space="0" w:color="auto"/>
              <w:right w:val="single" w:sz="4" w:space="0" w:color="auto"/>
            </w:tcBorders>
            <w:shd w:val="clear" w:color="auto" w:fill="auto"/>
            <w:noWrap/>
            <w:vAlign w:val="center"/>
          </w:tcPr>
          <w:p w14:paraId="5450AB90" w14:textId="79AC4D13" w:rsidR="00A573A7" w:rsidRPr="00C63A39" w:rsidRDefault="00A573A7" w:rsidP="00A573A7">
            <w:pPr>
              <w:jc w:val="right"/>
              <w:rPr>
                <w:color w:val="000000"/>
                <w:kern w:val="22"/>
                <w:szCs w:val="22"/>
                <w:lang w:eastAsia="en-CA"/>
              </w:rPr>
            </w:pPr>
            <w:r w:rsidRPr="00C63A39">
              <w:rPr>
                <w:color w:val="000000"/>
                <w:kern w:val="22"/>
                <w:szCs w:val="22"/>
                <w:lang w:eastAsia="en-CA"/>
              </w:rPr>
              <w:t>33</w:t>
            </w:r>
          </w:p>
        </w:tc>
      </w:tr>
      <w:tr w:rsidR="00A573A7" w:rsidRPr="00C63A39" w14:paraId="065323E7" w14:textId="77777777" w:rsidTr="00A573A7">
        <w:trPr>
          <w:trHeight w:val="301"/>
        </w:trPr>
        <w:tc>
          <w:tcPr>
            <w:tcW w:w="4823" w:type="dxa"/>
            <w:tcBorders>
              <w:top w:val="nil"/>
              <w:left w:val="single" w:sz="4" w:space="0" w:color="auto"/>
              <w:bottom w:val="single" w:sz="4" w:space="0" w:color="auto"/>
              <w:right w:val="single" w:sz="4" w:space="0" w:color="auto"/>
            </w:tcBorders>
            <w:shd w:val="clear" w:color="auto" w:fill="auto"/>
            <w:hideMark/>
          </w:tcPr>
          <w:p w14:paraId="37AF9AA6" w14:textId="138ACEDE" w:rsidR="00A573A7" w:rsidRPr="00C63A39" w:rsidRDefault="00A573A7" w:rsidP="00A573A7">
            <w:pPr>
              <w:rPr>
                <w:color w:val="000000"/>
                <w:kern w:val="22"/>
                <w:szCs w:val="22"/>
                <w:lang w:val="fr-FR" w:eastAsia="en-CA"/>
              </w:rPr>
            </w:pPr>
            <w:r w:rsidRPr="00C63A39">
              <w:rPr>
                <w:szCs w:val="22"/>
                <w:lang w:val="fr-FR"/>
              </w:rPr>
              <w:t>Pays-Bas</w:t>
            </w:r>
          </w:p>
        </w:tc>
        <w:tc>
          <w:tcPr>
            <w:tcW w:w="1547" w:type="dxa"/>
            <w:tcBorders>
              <w:top w:val="nil"/>
              <w:left w:val="nil"/>
              <w:bottom w:val="single" w:sz="4" w:space="0" w:color="auto"/>
              <w:right w:val="single" w:sz="4" w:space="0" w:color="auto"/>
            </w:tcBorders>
            <w:shd w:val="clear" w:color="auto" w:fill="auto"/>
            <w:vAlign w:val="center"/>
            <w:hideMark/>
          </w:tcPr>
          <w:p w14:paraId="66CC95D0" w14:textId="79EDCA58" w:rsidR="00A573A7" w:rsidRPr="00C63A39" w:rsidRDefault="00A573A7" w:rsidP="00A573A7">
            <w:pPr>
              <w:jc w:val="right"/>
              <w:rPr>
                <w:color w:val="000000"/>
                <w:kern w:val="22"/>
                <w:szCs w:val="22"/>
                <w:lang w:val="fr-FR" w:eastAsia="en-CA"/>
              </w:rPr>
            </w:pPr>
            <w:r w:rsidRPr="00C63A39">
              <w:rPr>
                <w:color w:val="000000"/>
                <w:kern w:val="22"/>
                <w:szCs w:val="22"/>
                <w:lang w:eastAsia="en-CA"/>
              </w:rPr>
              <w:t>1.356</w:t>
            </w:r>
          </w:p>
        </w:tc>
        <w:tc>
          <w:tcPr>
            <w:tcW w:w="1547" w:type="dxa"/>
            <w:tcBorders>
              <w:top w:val="nil"/>
              <w:left w:val="nil"/>
              <w:bottom w:val="single" w:sz="4" w:space="0" w:color="auto"/>
              <w:right w:val="single" w:sz="4" w:space="0" w:color="auto"/>
            </w:tcBorders>
            <w:shd w:val="clear" w:color="auto" w:fill="auto"/>
            <w:noWrap/>
            <w:vAlign w:val="center"/>
            <w:hideMark/>
          </w:tcPr>
          <w:p w14:paraId="519C3FA7" w14:textId="544AADCD" w:rsidR="00A573A7" w:rsidRPr="00C63A39" w:rsidRDefault="00A573A7" w:rsidP="00A573A7">
            <w:pPr>
              <w:jc w:val="right"/>
              <w:rPr>
                <w:color w:val="000000"/>
                <w:kern w:val="22"/>
                <w:szCs w:val="22"/>
                <w:lang w:val="fr-FR" w:eastAsia="en-CA"/>
              </w:rPr>
            </w:pPr>
            <w:r w:rsidRPr="00C63A39">
              <w:rPr>
                <w:color w:val="000000"/>
                <w:kern w:val="22"/>
                <w:szCs w:val="22"/>
                <w:lang w:eastAsia="en-CA"/>
              </w:rPr>
              <w:t>1.937</w:t>
            </w:r>
          </w:p>
        </w:tc>
        <w:tc>
          <w:tcPr>
            <w:tcW w:w="1547" w:type="dxa"/>
            <w:tcBorders>
              <w:top w:val="nil"/>
              <w:left w:val="nil"/>
              <w:bottom w:val="single" w:sz="4" w:space="0" w:color="auto"/>
              <w:right w:val="single" w:sz="4" w:space="0" w:color="auto"/>
            </w:tcBorders>
            <w:shd w:val="clear" w:color="auto" w:fill="auto"/>
            <w:noWrap/>
            <w:vAlign w:val="center"/>
            <w:hideMark/>
          </w:tcPr>
          <w:p w14:paraId="7242C381" w14:textId="54A0517C" w:rsidR="00A573A7" w:rsidRPr="00C63A39" w:rsidRDefault="00A573A7" w:rsidP="00A573A7">
            <w:pPr>
              <w:jc w:val="right"/>
              <w:rPr>
                <w:color w:val="000000"/>
                <w:kern w:val="22"/>
                <w:szCs w:val="22"/>
                <w:lang w:val="fr-FR" w:eastAsia="en-CA"/>
              </w:rPr>
            </w:pPr>
            <w:r w:rsidRPr="00C63A39">
              <w:rPr>
                <w:color w:val="000000"/>
                <w:kern w:val="22"/>
                <w:szCs w:val="22"/>
                <w:lang w:eastAsia="en-CA"/>
              </w:rPr>
              <w:t>44,781</w:t>
            </w:r>
          </w:p>
        </w:tc>
      </w:tr>
      <w:tr w:rsidR="00A573A7" w:rsidRPr="00C63A39" w14:paraId="3C6BE4CE" w14:textId="77777777" w:rsidTr="00A573A7">
        <w:trPr>
          <w:trHeight w:val="301"/>
        </w:trPr>
        <w:tc>
          <w:tcPr>
            <w:tcW w:w="4823" w:type="dxa"/>
            <w:tcBorders>
              <w:top w:val="nil"/>
              <w:left w:val="single" w:sz="4" w:space="0" w:color="auto"/>
              <w:bottom w:val="single" w:sz="4" w:space="0" w:color="auto"/>
              <w:right w:val="single" w:sz="4" w:space="0" w:color="auto"/>
            </w:tcBorders>
            <w:shd w:val="clear" w:color="auto" w:fill="auto"/>
          </w:tcPr>
          <w:p w14:paraId="73AB66C2" w14:textId="5F971530" w:rsidR="00A573A7" w:rsidRPr="00C63A39" w:rsidRDefault="00A573A7" w:rsidP="00A573A7">
            <w:pPr>
              <w:rPr>
                <w:szCs w:val="22"/>
                <w:lang w:val="fr-FR"/>
              </w:rPr>
            </w:pPr>
            <w:r w:rsidRPr="00C63A39">
              <w:rPr>
                <w:szCs w:val="22"/>
                <w:lang w:val="fr-FR"/>
              </w:rPr>
              <w:t>Nouvelle Zélande</w:t>
            </w:r>
          </w:p>
        </w:tc>
        <w:tc>
          <w:tcPr>
            <w:tcW w:w="1547" w:type="dxa"/>
            <w:tcBorders>
              <w:top w:val="nil"/>
              <w:left w:val="nil"/>
              <w:bottom w:val="single" w:sz="4" w:space="0" w:color="auto"/>
              <w:right w:val="single" w:sz="4" w:space="0" w:color="auto"/>
            </w:tcBorders>
            <w:shd w:val="clear" w:color="auto" w:fill="auto"/>
            <w:vAlign w:val="center"/>
          </w:tcPr>
          <w:p w14:paraId="11920B2D" w14:textId="2562DFDC" w:rsidR="00A573A7" w:rsidRPr="00C63A39" w:rsidRDefault="00A573A7" w:rsidP="00A573A7">
            <w:pPr>
              <w:jc w:val="right"/>
              <w:rPr>
                <w:color w:val="000000"/>
                <w:kern w:val="22"/>
                <w:szCs w:val="22"/>
                <w:lang w:eastAsia="en-CA"/>
              </w:rPr>
            </w:pPr>
            <w:r w:rsidRPr="00C63A39">
              <w:rPr>
                <w:color w:val="000000"/>
                <w:kern w:val="22"/>
                <w:szCs w:val="22"/>
                <w:lang w:eastAsia="en-CA"/>
              </w:rPr>
              <w:t>0.291</w:t>
            </w:r>
          </w:p>
        </w:tc>
        <w:tc>
          <w:tcPr>
            <w:tcW w:w="1547" w:type="dxa"/>
            <w:tcBorders>
              <w:top w:val="nil"/>
              <w:left w:val="nil"/>
              <w:bottom w:val="single" w:sz="4" w:space="0" w:color="auto"/>
              <w:right w:val="single" w:sz="4" w:space="0" w:color="auto"/>
            </w:tcBorders>
            <w:shd w:val="clear" w:color="auto" w:fill="auto"/>
            <w:noWrap/>
            <w:vAlign w:val="center"/>
          </w:tcPr>
          <w:p w14:paraId="2AC38A00" w14:textId="5D32BE48" w:rsidR="00A573A7" w:rsidRPr="00C63A39" w:rsidRDefault="00A573A7" w:rsidP="00A573A7">
            <w:pPr>
              <w:jc w:val="right"/>
              <w:rPr>
                <w:color w:val="000000"/>
                <w:kern w:val="22"/>
                <w:szCs w:val="22"/>
                <w:lang w:eastAsia="en-CA"/>
              </w:rPr>
            </w:pPr>
            <w:r w:rsidRPr="00C63A39">
              <w:rPr>
                <w:color w:val="000000"/>
                <w:kern w:val="22"/>
                <w:szCs w:val="22"/>
                <w:lang w:eastAsia="en-CA"/>
              </w:rPr>
              <w:t>0.416</w:t>
            </w:r>
          </w:p>
        </w:tc>
        <w:tc>
          <w:tcPr>
            <w:tcW w:w="1547" w:type="dxa"/>
            <w:tcBorders>
              <w:top w:val="nil"/>
              <w:left w:val="nil"/>
              <w:bottom w:val="single" w:sz="4" w:space="0" w:color="auto"/>
              <w:right w:val="single" w:sz="4" w:space="0" w:color="auto"/>
            </w:tcBorders>
            <w:shd w:val="clear" w:color="auto" w:fill="auto"/>
            <w:noWrap/>
            <w:vAlign w:val="center"/>
          </w:tcPr>
          <w:p w14:paraId="2A91F4DF" w14:textId="7EBAB54E" w:rsidR="00A573A7" w:rsidRPr="00C63A39" w:rsidRDefault="00A573A7" w:rsidP="00A573A7">
            <w:pPr>
              <w:jc w:val="right"/>
              <w:rPr>
                <w:color w:val="000000"/>
                <w:kern w:val="22"/>
                <w:szCs w:val="22"/>
                <w:lang w:eastAsia="en-CA"/>
              </w:rPr>
            </w:pPr>
            <w:r w:rsidRPr="00C63A39">
              <w:rPr>
                <w:color w:val="000000"/>
                <w:kern w:val="22"/>
                <w:szCs w:val="22"/>
                <w:lang w:eastAsia="en-CA"/>
              </w:rPr>
              <w:t>9,610</w:t>
            </w:r>
          </w:p>
        </w:tc>
      </w:tr>
      <w:tr w:rsidR="00A573A7" w:rsidRPr="00C63A39" w14:paraId="4B004E8D" w14:textId="77777777" w:rsidTr="00A573A7">
        <w:trPr>
          <w:trHeight w:val="301"/>
        </w:trPr>
        <w:tc>
          <w:tcPr>
            <w:tcW w:w="4823" w:type="dxa"/>
            <w:tcBorders>
              <w:top w:val="nil"/>
              <w:left w:val="single" w:sz="4" w:space="0" w:color="auto"/>
              <w:bottom w:val="single" w:sz="4" w:space="0" w:color="auto"/>
              <w:right w:val="single" w:sz="4" w:space="0" w:color="auto"/>
            </w:tcBorders>
            <w:shd w:val="clear" w:color="auto" w:fill="auto"/>
            <w:hideMark/>
          </w:tcPr>
          <w:p w14:paraId="3E950818" w14:textId="58D8CD63" w:rsidR="00A573A7" w:rsidRPr="00C63A39" w:rsidRDefault="00A573A7" w:rsidP="00A573A7">
            <w:pPr>
              <w:rPr>
                <w:color w:val="000000"/>
                <w:kern w:val="22"/>
                <w:szCs w:val="22"/>
                <w:lang w:val="fr-FR" w:eastAsia="en-CA"/>
              </w:rPr>
            </w:pPr>
            <w:r w:rsidRPr="00C63A39">
              <w:rPr>
                <w:szCs w:val="22"/>
                <w:lang w:val="fr-FR"/>
              </w:rPr>
              <w:t>Nicaragua</w:t>
            </w:r>
          </w:p>
        </w:tc>
        <w:tc>
          <w:tcPr>
            <w:tcW w:w="1547" w:type="dxa"/>
            <w:tcBorders>
              <w:top w:val="nil"/>
              <w:left w:val="nil"/>
              <w:bottom w:val="single" w:sz="4" w:space="0" w:color="auto"/>
              <w:right w:val="single" w:sz="4" w:space="0" w:color="auto"/>
            </w:tcBorders>
            <w:shd w:val="clear" w:color="auto" w:fill="auto"/>
            <w:vAlign w:val="center"/>
            <w:hideMark/>
          </w:tcPr>
          <w:p w14:paraId="76645CE1" w14:textId="01AEBEA8" w:rsidR="00A573A7" w:rsidRPr="00C63A39" w:rsidRDefault="00A573A7" w:rsidP="00A573A7">
            <w:pPr>
              <w:jc w:val="right"/>
              <w:rPr>
                <w:color w:val="000000"/>
                <w:kern w:val="22"/>
                <w:szCs w:val="22"/>
                <w:lang w:val="fr-FR" w:eastAsia="en-CA"/>
              </w:rPr>
            </w:pPr>
            <w:r w:rsidRPr="00C63A39">
              <w:rPr>
                <w:color w:val="000000"/>
                <w:kern w:val="22"/>
                <w:szCs w:val="22"/>
                <w:lang w:eastAsia="en-CA"/>
              </w:rPr>
              <w:t>0.005</w:t>
            </w:r>
          </w:p>
        </w:tc>
        <w:tc>
          <w:tcPr>
            <w:tcW w:w="1547" w:type="dxa"/>
            <w:tcBorders>
              <w:top w:val="nil"/>
              <w:left w:val="nil"/>
              <w:bottom w:val="single" w:sz="4" w:space="0" w:color="auto"/>
              <w:right w:val="single" w:sz="4" w:space="0" w:color="auto"/>
            </w:tcBorders>
            <w:shd w:val="clear" w:color="auto" w:fill="auto"/>
            <w:noWrap/>
            <w:vAlign w:val="center"/>
            <w:hideMark/>
          </w:tcPr>
          <w:p w14:paraId="034C0D9E" w14:textId="2FA4237E" w:rsidR="00A573A7" w:rsidRPr="00C63A39" w:rsidRDefault="00A573A7" w:rsidP="00A573A7">
            <w:pPr>
              <w:jc w:val="right"/>
              <w:rPr>
                <w:color w:val="000000"/>
                <w:kern w:val="22"/>
                <w:szCs w:val="22"/>
                <w:lang w:val="fr-FR" w:eastAsia="en-CA"/>
              </w:rPr>
            </w:pPr>
            <w:r w:rsidRPr="00C63A39">
              <w:rPr>
                <w:color w:val="000000"/>
                <w:kern w:val="22"/>
                <w:szCs w:val="22"/>
                <w:lang w:eastAsia="en-CA"/>
              </w:rPr>
              <w:t>0.007</w:t>
            </w:r>
          </w:p>
        </w:tc>
        <w:tc>
          <w:tcPr>
            <w:tcW w:w="1547" w:type="dxa"/>
            <w:tcBorders>
              <w:top w:val="nil"/>
              <w:left w:val="nil"/>
              <w:bottom w:val="single" w:sz="4" w:space="0" w:color="auto"/>
              <w:right w:val="single" w:sz="4" w:space="0" w:color="auto"/>
            </w:tcBorders>
            <w:shd w:val="clear" w:color="auto" w:fill="auto"/>
            <w:noWrap/>
            <w:vAlign w:val="center"/>
            <w:hideMark/>
          </w:tcPr>
          <w:p w14:paraId="17B30CD7" w14:textId="5EF87923" w:rsidR="00A573A7" w:rsidRPr="00C63A39" w:rsidRDefault="00A573A7" w:rsidP="00A573A7">
            <w:pPr>
              <w:jc w:val="right"/>
              <w:rPr>
                <w:color w:val="000000"/>
                <w:kern w:val="22"/>
                <w:szCs w:val="22"/>
                <w:lang w:val="fr-FR" w:eastAsia="en-CA"/>
              </w:rPr>
            </w:pPr>
            <w:r w:rsidRPr="00C63A39">
              <w:rPr>
                <w:color w:val="000000"/>
                <w:kern w:val="22"/>
                <w:szCs w:val="22"/>
                <w:lang w:eastAsia="en-CA"/>
              </w:rPr>
              <w:t>165</w:t>
            </w:r>
          </w:p>
        </w:tc>
      </w:tr>
      <w:tr w:rsidR="00A573A7" w:rsidRPr="00C63A39" w14:paraId="3D7E3A9A" w14:textId="77777777" w:rsidTr="00A573A7">
        <w:trPr>
          <w:trHeight w:val="301"/>
        </w:trPr>
        <w:tc>
          <w:tcPr>
            <w:tcW w:w="4823" w:type="dxa"/>
            <w:tcBorders>
              <w:top w:val="nil"/>
              <w:left w:val="single" w:sz="4" w:space="0" w:color="auto"/>
              <w:bottom w:val="single" w:sz="4" w:space="0" w:color="auto"/>
              <w:right w:val="single" w:sz="4" w:space="0" w:color="auto"/>
            </w:tcBorders>
            <w:shd w:val="clear" w:color="auto" w:fill="auto"/>
            <w:hideMark/>
          </w:tcPr>
          <w:p w14:paraId="65D25BC6" w14:textId="087A1CC7" w:rsidR="00A573A7" w:rsidRPr="00C63A39" w:rsidRDefault="00A573A7" w:rsidP="00A573A7">
            <w:pPr>
              <w:rPr>
                <w:szCs w:val="22"/>
                <w:lang w:val="fr-FR"/>
              </w:rPr>
            </w:pPr>
            <w:r w:rsidRPr="00C63A39">
              <w:rPr>
                <w:szCs w:val="22"/>
                <w:lang w:val="fr-FR"/>
              </w:rPr>
              <w:t>Nig</w:t>
            </w:r>
            <w:r w:rsidR="00DD3868" w:rsidRPr="00C63A39">
              <w:rPr>
                <w:szCs w:val="22"/>
                <w:lang w:val="fr-FR"/>
              </w:rPr>
              <w:t>er</w:t>
            </w:r>
            <w:r w:rsidRPr="00C63A39">
              <w:rPr>
                <w:szCs w:val="22"/>
                <w:lang w:val="fr-FR"/>
              </w:rPr>
              <w:t xml:space="preserve">ia </w:t>
            </w:r>
          </w:p>
        </w:tc>
        <w:tc>
          <w:tcPr>
            <w:tcW w:w="1547" w:type="dxa"/>
            <w:tcBorders>
              <w:top w:val="nil"/>
              <w:left w:val="nil"/>
              <w:bottom w:val="single" w:sz="4" w:space="0" w:color="auto"/>
              <w:right w:val="single" w:sz="4" w:space="0" w:color="auto"/>
            </w:tcBorders>
            <w:shd w:val="clear" w:color="auto" w:fill="auto"/>
            <w:vAlign w:val="center"/>
            <w:hideMark/>
          </w:tcPr>
          <w:p w14:paraId="5217B1FD" w14:textId="69EA4FAB" w:rsidR="00A573A7" w:rsidRPr="00C63A39" w:rsidRDefault="00A573A7" w:rsidP="00A573A7">
            <w:pPr>
              <w:jc w:val="right"/>
              <w:rPr>
                <w:color w:val="000000"/>
                <w:kern w:val="22"/>
                <w:szCs w:val="22"/>
                <w:lang w:val="fr-FR" w:eastAsia="en-CA"/>
              </w:rPr>
            </w:pPr>
            <w:r w:rsidRPr="00C63A39">
              <w:rPr>
                <w:color w:val="000000"/>
                <w:kern w:val="22"/>
                <w:szCs w:val="22"/>
                <w:lang w:eastAsia="en-CA"/>
              </w:rPr>
              <w:t>0.002</w:t>
            </w:r>
          </w:p>
        </w:tc>
        <w:tc>
          <w:tcPr>
            <w:tcW w:w="1547" w:type="dxa"/>
            <w:tcBorders>
              <w:top w:val="nil"/>
              <w:left w:val="nil"/>
              <w:bottom w:val="single" w:sz="4" w:space="0" w:color="auto"/>
              <w:right w:val="single" w:sz="4" w:space="0" w:color="auto"/>
            </w:tcBorders>
            <w:shd w:val="clear" w:color="auto" w:fill="auto"/>
            <w:noWrap/>
            <w:vAlign w:val="center"/>
            <w:hideMark/>
          </w:tcPr>
          <w:p w14:paraId="721428CC" w14:textId="4946732C" w:rsidR="00A573A7" w:rsidRPr="00C63A39" w:rsidRDefault="00A573A7" w:rsidP="00A573A7">
            <w:pPr>
              <w:jc w:val="right"/>
              <w:rPr>
                <w:color w:val="000000"/>
                <w:kern w:val="22"/>
                <w:szCs w:val="22"/>
                <w:lang w:val="fr-FR" w:eastAsia="en-CA"/>
              </w:rPr>
            </w:pPr>
            <w:r w:rsidRPr="00C63A39">
              <w:rPr>
                <w:color w:val="000000"/>
                <w:kern w:val="22"/>
                <w:szCs w:val="22"/>
                <w:lang w:eastAsia="en-CA"/>
              </w:rPr>
              <w:t>0.003</w:t>
            </w:r>
          </w:p>
        </w:tc>
        <w:tc>
          <w:tcPr>
            <w:tcW w:w="1547" w:type="dxa"/>
            <w:tcBorders>
              <w:top w:val="nil"/>
              <w:left w:val="nil"/>
              <w:bottom w:val="single" w:sz="4" w:space="0" w:color="auto"/>
              <w:right w:val="single" w:sz="4" w:space="0" w:color="auto"/>
            </w:tcBorders>
            <w:shd w:val="clear" w:color="auto" w:fill="auto"/>
            <w:noWrap/>
            <w:vAlign w:val="center"/>
            <w:hideMark/>
          </w:tcPr>
          <w:p w14:paraId="0A6E1DE9" w14:textId="29D2A400" w:rsidR="00A573A7" w:rsidRPr="00C63A39" w:rsidRDefault="00A573A7" w:rsidP="00A573A7">
            <w:pPr>
              <w:jc w:val="right"/>
              <w:rPr>
                <w:color w:val="000000"/>
                <w:kern w:val="22"/>
                <w:szCs w:val="22"/>
                <w:lang w:val="fr-FR" w:eastAsia="en-CA"/>
              </w:rPr>
            </w:pPr>
            <w:r w:rsidRPr="00C63A39">
              <w:rPr>
                <w:color w:val="000000"/>
                <w:kern w:val="22"/>
                <w:szCs w:val="22"/>
                <w:lang w:eastAsia="en-CA"/>
              </w:rPr>
              <w:t>66</w:t>
            </w:r>
          </w:p>
        </w:tc>
      </w:tr>
    </w:tbl>
    <w:p w14:paraId="2794C978" w14:textId="6DCEE460" w:rsidR="001F110D" w:rsidRPr="00C63A39" w:rsidRDefault="001F110D" w:rsidP="0079737F">
      <w:pPr>
        <w:spacing w:after="160" w:line="259" w:lineRule="auto"/>
        <w:rPr>
          <w:rFonts w:eastAsiaTheme="minorEastAsia"/>
          <w:bCs/>
          <w:kern w:val="22"/>
          <w:szCs w:val="22"/>
          <w:lang w:val="fr-FR"/>
        </w:rPr>
      </w:pPr>
    </w:p>
    <w:p w14:paraId="351C326F" w14:textId="77777777" w:rsidR="001F110D" w:rsidRPr="00C63A39" w:rsidRDefault="001F110D">
      <w:pPr>
        <w:spacing w:after="160" w:line="259" w:lineRule="auto"/>
        <w:rPr>
          <w:rFonts w:eastAsiaTheme="minorEastAsia"/>
          <w:bCs/>
          <w:kern w:val="22"/>
          <w:szCs w:val="22"/>
          <w:lang w:val="fr-FR"/>
        </w:rPr>
      </w:pPr>
      <w:r w:rsidRPr="00C63A39">
        <w:rPr>
          <w:rFonts w:eastAsiaTheme="minorEastAsia"/>
          <w:bCs/>
          <w:kern w:val="22"/>
          <w:szCs w:val="22"/>
          <w:lang w:val="fr-FR"/>
        </w:rPr>
        <w:br w:type="page"/>
      </w:r>
    </w:p>
    <w:tbl>
      <w:tblPr>
        <w:tblW w:w="9420" w:type="dxa"/>
        <w:tblLook w:val="04A0" w:firstRow="1" w:lastRow="0" w:firstColumn="1" w:lastColumn="0" w:noHBand="0" w:noVBand="1"/>
      </w:tblPr>
      <w:tblGrid>
        <w:gridCol w:w="4800"/>
        <w:gridCol w:w="1540"/>
        <w:gridCol w:w="1540"/>
        <w:gridCol w:w="1540"/>
      </w:tblGrid>
      <w:tr w:rsidR="005F7E95" w:rsidRPr="00C63A39" w14:paraId="6B886C36" w14:textId="77777777" w:rsidTr="001F110D">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91986A" w14:textId="60BE8365" w:rsidR="005F7E95" w:rsidRPr="00C63A39" w:rsidRDefault="005F7E95" w:rsidP="005F7E95">
            <w:pPr>
              <w:jc w:val="center"/>
              <w:rPr>
                <w:b/>
                <w:bCs/>
                <w:kern w:val="22"/>
                <w:szCs w:val="22"/>
                <w:lang w:val="fr-FR" w:eastAsia="en-CA"/>
              </w:rPr>
            </w:pPr>
            <w:r w:rsidRPr="00C63A39">
              <w:rPr>
                <w:b/>
                <w:bCs/>
                <w:kern w:val="22"/>
                <w:szCs w:val="22"/>
                <w:lang w:val="fr-FR" w:eastAsia="en-CA"/>
              </w:rPr>
              <w:lastRenderedPageBreak/>
              <w:t>Partie</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4F91013C" w14:textId="7558B611" w:rsidR="005F7E95" w:rsidRPr="00C63A39" w:rsidRDefault="005F7E95" w:rsidP="005F7E95">
            <w:pPr>
              <w:jc w:val="center"/>
              <w:rPr>
                <w:b/>
                <w:bCs/>
                <w:color w:val="000000"/>
                <w:kern w:val="22"/>
                <w:szCs w:val="22"/>
                <w:lang w:val="fr-FR" w:eastAsia="en-CA"/>
              </w:rPr>
            </w:pPr>
            <w:r w:rsidRPr="00C63A39">
              <w:rPr>
                <w:b/>
                <w:bCs/>
                <w:color w:val="000000"/>
                <w:kern w:val="22"/>
                <w:szCs w:val="22"/>
                <w:lang w:val="fr-FR" w:eastAsia="en-CA"/>
              </w:rPr>
              <w:t xml:space="preserve">Barème des quotes-parts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08E935C3" w14:textId="2797138B" w:rsidR="005F7E95" w:rsidRPr="00C63A39" w:rsidRDefault="005F7E95" w:rsidP="005F7E95">
            <w:pPr>
              <w:jc w:val="center"/>
              <w:rPr>
                <w:b/>
                <w:bCs/>
                <w:color w:val="000000"/>
                <w:kern w:val="22"/>
                <w:szCs w:val="22"/>
                <w:lang w:val="fr-FR" w:eastAsia="en-CA"/>
              </w:rPr>
            </w:pPr>
            <w:r w:rsidRPr="00C63A39">
              <w:rPr>
                <w:b/>
                <w:bCs/>
                <w:color w:val="000000"/>
                <w:kern w:val="22"/>
                <w:szCs w:val="22"/>
                <w:lang w:val="fr-FR" w:eastAsia="en-CA"/>
              </w:rPr>
              <w:t>Barème assorti d’un plafond de 22% ; aucun PMA ne paie plus de 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75C040F2" w14:textId="5F2B5B3A" w:rsidR="005F7E95" w:rsidRPr="00C63A39" w:rsidRDefault="005F7E95" w:rsidP="005F7E95">
            <w:pPr>
              <w:jc w:val="center"/>
              <w:rPr>
                <w:b/>
                <w:bCs/>
                <w:color w:val="000000"/>
                <w:kern w:val="22"/>
                <w:szCs w:val="22"/>
                <w:lang w:val="fr-FR" w:eastAsia="en-CA"/>
              </w:rPr>
            </w:pPr>
            <w:r w:rsidRPr="00C63A39">
              <w:rPr>
                <w:b/>
                <w:bCs/>
                <w:color w:val="000000"/>
                <w:kern w:val="22"/>
                <w:szCs w:val="22"/>
                <w:lang w:val="fr-FR" w:eastAsia="en-CA"/>
              </w:rPr>
              <w:t>Contributions au 1er janvier 2020</w:t>
            </w:r>
          </w:p>
        </w:tc>
      </w:tr>
      <w:tr w:rsidR="0032335C" w:rsidRPr="00C63A39" w14:paraId="504DA7B7"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6BAC4DD3" w14:textId="58C85610" w:rsidR="0032335C" w:rsidRPr="00C63A39" w:rsidRDefault="0032335C" w:rsidP="0032335C">
            <w:pPr>
              <w:rPr>
                <w:color w:val="000000"/>
                <w:kern w:val="22"/>
                <w:szCs w:val="22"/>
                <w:lang w:val="fr-FR" w:eastAsia="en-CA"/>
              </w:rPr>
            </w:pPr>
            <w:r w:rsidRPr="00C63A39">
              <w:rPr>
                <w:szCs w:val="22"/>
                <w:lang w:val="fr-FR"/>
              </w:rPr>
              <w:t>Nigeria</w:t>
            </w:r>
          </w:p>
        </w:tc>
        <w:tc>
          <w:tcPr>
            <w:tcW w:w="1540" w:type="dxa"/>
            <w:tcBorders>
              <w:top w:val="nil"/>
              <w:left w:val="nil"/>
              <w:bottom w:val="single" w:sz="4" w:space="0" w:color="auto"/>
              <w:right w:val="single" w:sz="4" w:space="0" w:color="auto"/>
            </w:tcBorders>
            <w:shd w:val="clear" w:color="auto" w:fill="auto"/>
            <w:vAlign w:val="center"/>
            <w:hideMark/>
          </w:tcPr>
          <w:p w14:paraId="4C327B62"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0.250 </w:t>
            </w:r>
          </w:p>
        </w:tc>
        <w:tc>
          <w:tcPr>
            <w:tcW w:w="1540" w:type="dxa"/>
            <w:tcBorders>
              <w:top w:val="nil"/>
              <w:left w:val="nil"/>
              <w:bottom w:val="single" w:sz="4" w:space="0" w:color="auto"/>
              <w:right w:val="single" w:sz="4" w:space="0" w:color="auto"/>
            </w:tcBorders>
            <w:shd w:val="clear" w:color="auto" w:fill="auto"/>
            <w:noWrap/>
            <w:vAlign w:val="center"/>
            <w:hideMark/>
          </w:tcPr>
          <w:p w14:paraId="47B42F73"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0.357 </w:t>
            </w:r>
          </w:p>
        </w:tc>
        <w:tc>
          <w:tcPr>
            <w:tcW w:w="1540" w:type="dxa"/>
            <w:tcBorders>
              <w:top w:val="nil"/>
              <w:left w:val="nil"/>
              <w:bottom w:val="single" w:sz="4" w:space="0" w:color="auto"/>
              <w:right w:val="single" w:sz="4" w:space="0" w:color="auto"/>
            </w:tcBorders>
            <w:shd w:val="clear" w:color="auto" w:fill="auto"/>
            <w:noWrap/>
            <w:vAlign w:val="center"/>
            <w:hideMark/>
          </w:tcPr>
          <w:p w14:paraId="668D283D"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8,256</w:t>
            </w:r>
          </w:p>
        </w:tc>
      </w:tr>
      <w:tr w:rsidR="0032335C" w:rsidRPr="00C63A39" w14:paraId="7B505EA4"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4E28057A" w14:textId="7E6DCC50" w:rsidR="0032335C" w:rsidRPr="00C63A39" w:rsidRDefault="0032335C" w:rsidP="0032335C">
            <w:pPr>
              <w:rPr>
                <w:color w:val="000000"/>
                <w:kern w:val="22"/>
                <w:szCs w:val="22"/>
                <w:lang w:val="fr-FR" w:eastAsia="en-CA"/>
              </w:rPr>
            </w:pPr>
            <w:r w:rsidRPr="00C63A39">
              <w:rPr>
                <w:szCs w:val="22"/>
                <w:lang w:val="fr-FR"/>
              </w:rPr>
              <w:t>Niue</w:t>
            </w:r>
          </w:p>
        </w:tc>
        <w:tc>
          <w:tcPr>
            <w:tcW w:w="1540" w:type="dxa"/>
            <w:tcBorders>
              <w:top w:val="nil"/>
              <w:left w:val="nil"/>
              <w:bottom w:val="single" w:sz="4" w:space="0" w:color="auto"/>
              <w:right w:val="single" w:sz="4" w:space="0" w:color="auto"/>
            </w:tcBorders>
            <w:shd w:val="clear" w:color="auto" w:fill="auto"/>
            <w:vAlign w:val="center"/>
            <w:hideMark/>
          </w:tcPr>
          <w:p w14:paraId="7066E5AB"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3685D4D9"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474348E5"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33</w:t>
            </w:r>
          </w:p>
        </w:tc>
      </w:tr>
      <w:tr w:rsidR="0032335C" w:rsidRPr="00C63A39" w14:paraId="5459861C"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554BB788" w14:textId="30399B13" w:rsidR="0032335C" w:rsidRPr="00C63A39" w:rsidRDefault="0032335C" w:rsidP="0032335C">
            <w:pPr>
              <w:rPr>
                <w:color w:val="000000"/>
                <w:kern w:val="22"/>
                <w:szCs w:val="22"/>
                <w:lang w:val="fr-FR" w:eastAsia="en-CA"/>
              </w:rPr>
            </w:pPr>
            <w:r w:rsidRPr="00C63A39">
              <w:rPr>
                <w:szCs w:val="22"/>
                <w:lang w:val="fr-FR"/>
              </w:rPr>
              <w:t>Norvège</w:t>
            </w:r>
          </w:p>
        </w:tc>
        <w:tc>
          <w:tcPr>
            <w:tcW w:w="1540" w:type="dxa"/>
            <w:tcBorders>
              <w:top w:val="nil"/>
              <w:left w:val="nil"/>
              <w:bottom w:val="single" w:sz="4" w:space="0" w:color="auto"/>
              <w:right w:val="single" w:sz="4" w:space="0" w:color="auto"/>
            </w:tcBorders>
            <w:shd w:val="clear" w:color="auto" w:fill="auto"/>
            <w:vAlign w:val="center"/>
            <w:hideMark/>
          </w:tcPr>
          <w:p w14:paraId="54CCC348"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0.754 </w:t>
            </w:r>
          </w:p>
        </w:tc>
        <w:tc>
          <w:tcPr>
            <w:tcW w:w="1540" w:type="dxa"/>
            <w:tcBorders>
              <w:top w:val="nil"/>
              <w:left w:val="nil"/>
              <w:bottom w:val="single" w:sz="4" w:space="0" w:color="auto"/>
              <w:right w:val="single" w:sz="4" w:space="0" w:color="auto"/>
            </w:tcBorders>
            <w:shd w:val="clear" w:color="auto" w:fill="auto"/>
            <w:noWrap/>
            <w:vAlign w:val="center"/>
            <w:hideMark/>
          </w:tcPr>
          <w:p w14:paraId="4E6C8A0E"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1.077 </w:t>
            </w:r>
          </w:p>
        </w:tc>
        <w:tc>
          <w:tcPr>
            <w:tcW w:w="1540" w:type="dxa"/>
            <w:tcBorders>
              <w:top w:val="nil"/>
              <w:left w:val="nil"/>
              <w:bottom w:val="single" w:sz="4" w:space="0" w:color="auto"/>
              <w:right w:val="single" w:sz="4" w:space="0" w:color="auto"/>
            </w:tcBorders>
            <w:shd w:val="clear" w:color="auto" w:fill="auto"/>
            <w:noWrap/>
            <w:vAlign w:val="center"/>
            <w:hideMark/>
          </w:tcPr>
          <w:p w14:paraId="34F92051"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24,900</w:t>
            </w:r>
          </w:p>
        </w:tc>
      </w:tr>
      <w:tr w:rsidR="0032335C" w:rsidRPr="00C63A39" w14:paraId="0899BADF"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097AD357" w14:textId="49387E24" w:rsidR="0032335C" w:rsidRPr="00C63A39" w:rsidRDefault="0032335C" w:rsidP="0032335C">
            <w:pPr>
              <w:rPr>
                <w:color w:val="000000"/>
                <w:kern w:val="22"/>
                <w:szCs w:val="22"/>
                <w:lang w:val="fr-FR" w:eastAsia="en-CA"/>
              </w:rPr>
            </w:pPr>
            <w:r w:rsidRPr="00C63A39">
              <w:rPr>
                <w:szCs w:val="22"/>
                <w:lang w:val="fr-FR"/>
              </w:rPr>
              <w:t>Oman</w:t>
            </w:r>
          </w:p>
        </w:tc>
        <w:tc>
          <w:tcPr>
            <w:tcW w:w="1540" w:type="dxa"/>
            <w:tcBorders>
              <w:top w:val="nil"/>
              <w:left w:val="nil"/>
              <w:bottom w:val="single" w:sz="4" w:space="0" w:color="auto"/>
              <w:right w:val="single" w:sz="4" w:space="0" w:color="auto"/>
            </w:tcBorders>
            <w:shd w:val="clear" w:color="auto" w:fill="auto"/>
            <w:vAlign w:val="center"/>
            <w:hideMark/>
          </w:tcPr>
          <w:p w14:paraId="480A6B0D"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0.115 </w:t>
            </w:r>
          </w:p>
        </w:tc>
        <w:tc>
          <w:tcPr>
            <w:tcW w:w="1540" w:type="dxa"/>
            <w:tcBorders>
              <w:top w:val="nil"/>
              <w:left w:val="nil"/>
              <w:bottom w:val="single" w:sz="4" w:space="0" w:color="auto"/>
              <w:right w:val="single" w:sz="4" w:space="0" w:color="auto"/>
            </w:tcBorders>
            <w:shd w:val="clear" w:color="auto" w:fill="auto"/>
            <w:noWrap/>
            <w:vAlign w:val="center"/>
            <w:hideMark/>
          </w:tcPr>
          <w:p w14:paraId="52B99F46"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0.164 </w:t>
            </w:r>
          </w:p>
        </w:tc>
        <w:tc>
          <w:tcPr>
            <w:tcW w:w="1540" w:type="dxa"/>
            <w:tcBorders>
              <w:top w:val="nil"/>
              <w:left w:val="nil"/>
              <w:bottom w:val="single" w:sz="4" w:space="0" w:color="auto"/>
              <w:right w:val="single" w:sz="4" w:space="0" w:color="auto"/>
            </w:tcBorders>
            <w:shd w:val="clear" w:color="auto" w:fill="auto"/>
            <w:noWrap/>
            <w:vAlign w:val="center"/>
            <w:hideMark/>
          </w:tcPr>
          <w:p w14:paraId="36201A32"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3,798</w:t>
            </w:r>
          </w:p>
        </w:tc>
      </w:tr>
      <w:tr w:rsidR="0032335C" w:rsidRPr="00C63A39" w14:paraId="3111E8D5"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0CA2B42A" w14:textId="5B9ECEF2" w:rsidR="0032335C" w:rsidRPr="00C63A39" w:rsidRDefault="0032335C" w:rsidP="0032335C">
            <w:pPr>
              <w:rPr>
                <w:color w:val="000000"/>
                <w:kern w:val="22"/>
                <w:szCs w:val="22"/>
                <w:lang w:val="fr-FR" w:eastAsia="en-CA"/>
              </w:rPr>
            </w:pPr>
            <w:r w:rsidRPr="00C63A39">
              <w:rPr>
                <w:szCs w:val="22"/>
                <w:lang w:val="fr-FR"/>
              </w:rPr>
              <w:t>Pakistan</w:t>
            </w:r>
          </w:p>
        </w:tc>
        <w:tc>
          <w:tcPr>
            <w:tcW w:w="1540" w:type="dxa"/>
            <w:tcBorders>
              <w:top w:val="nil"/>
              <w:left w:val="nil"/>
              <w:bottom w:val="single" w:sz="4" w:space="0" w:color="auto"/>
              <w:right w:val="single" w:sz="4" w:space="0" w:color="auto"/>
            </w:tcBorders>
            <w:shd w:val="clear" w:color="auto" w:fill="auto"/>
            <w:vAlign w:val="center"/>
            <w:hideMark/>
          </w:tcPr>
          <w:p w14:paraId="58E656BE"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0.115 </w:t>
            </w:r>
          </w:p>
        </w:tc>
        <w:tc>
          <w:tcPr>
            <w:tcW w:w="1540" w:type="dxa"/>
            <w:tcBorders>
              <w:top w:val="nil"/>
              <w:left w:val="nil"/>
              <w:bottom w:val="single" w:sz="4" w:space="0" w:color="auto"/>
              <w:right w:val="single" w:sz="4" w:space="0" w:color="auto"/>
            </w:tcBorders>
            <w:shd w:val="clear" w:color="auto" w:fill="auto"/>
            <w:noWrap/>
            <w:vAlign w:val="center"/>
            <w:hideMark/>
          </w:tcPr>
          <w:p w14:paraId="179AACAA"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0.164 </w:t>
            </w:r>
          </w:p>
        </w:tc>
        <w:tc>
          <w:tcPr>
            <w:tcW w:w="1540" w:type="dxa"/>
            <w:tcBorders>
              <w:top w:val="nil"/>
              <w:left w:val="nil"/>
              <w:bottom w:val="single" w:sz="4" w:space="0" w:color="auto"/>
              <w:right w:val="single" w:sz="4" w:space="0" w:color="auto"/>
            </w:tcBorders>
            <w:shd w:val="clear" w:color="auto" w:fill="auto"/>
            <w:noWrap/>
            <w:vAlign w:val="center"/>
            <w:hideMark/>
          </w:tcPr>
          <w:p w14:paraId="23DEAFFB"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3,798</w:t>
            </w:r>
          </w:p>
        </w:tc>
      </w:tr>
      <w:tr w:rsidR="0032335C" w:rsidRPr="00C63A39" w14:paraId="178CBCE1"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171DF325" w14:textId="27B0124B" w:rsidR="0032335C" w:rsidRPr="00C63A39" w:rsidRDefault="0032335C" w:rsidP="0032335C">
            <w:pPr>
              <w:rPr>
                <w:color w:val="000000"/>
                <w:kern w:val="22"/>
                <w:szCs w:val="22"/>
                <w:lang w:val="fr-FR" w:eastAsia="en-CA"/>
              </w:rPr>
            </w:pPr>
            <w:r w:rsidRPr="00C63A39">
              <w:rPr>
                <w:szCs w:val="22"/>
                <w:lang w:val="fr-FR"/>
              </w:rPr>
              <w:t>Palau</w:t>
            </w:r>
          </w:p>
        </w:tc>
        <w:tc>
          <w:tcPr>
            <w:tcW w:w="1540" w:type="dxa"/>
            <w:tcBorders>
              <w:top w:val="nil"/>
              <w:left w:val="nil"/>
              <w:bottom w:val="single" w:sz="4" w:space="0" w:color="auto"/>
              <w:right w:val="single" w:sz="4" w:space="0" w:color="auto"/>
            </w:tcBorders>
            <w:shd w:val="clear" w:color="auto" w:fill="auto"/>
            <w:vAlign w:val="center"/>
            <w:hideMark/>
          </w:tcPr>
          <w:p w14:paraId="73059C05"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393F53E4"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4D823735"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33</w:t>
            </w:r>
          </w:p>
        </w:tc>
      </w:tr>
      <w:tr w:rsidR="0032335C" w:rsidRPr="00C63A39" w14:paraId="7F56D3BA"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0D36C84D" w14:textId="18A0733D" w:rsidR="0032335C" w:rsidRPr="00C63A39" w:rsidRDefault="0032335C" w:rsidP="0032335C">
            <w:pPr>
              <w:rPr>
                <w:color w:val="000000"/>
                <w:kern w:val="22"/>
                <w:szCs w:val="22"/>
                <w:lang w:val="fr-FR" w:eastAsia="en-CA"/>
              </w:rPr>
            </w:pPr>
            <w:r w:rsidRPr="00C63A39">
              <w:rPr>
                <w:szCs w:val="22"/>
                <w:lang w:val="fr-FR"/>
              </w:rPr>
              <w:t>Panama</w:t>
            </w:r>
          </w:p>
        </w:tc>
        <w:tc>
          <w:tcPr>
            <w:tcW w:w="1540" w:type="dxa"/>
            <w:tcBorders>
              <w:top w:val="nil"/>
              <w:left w:val="nil"/>
              <w:bottom w:val="single" w:sz="4" w:space="0" w:color="auto"/>
              <w:right w:val="single" w:sz="4" w:space="0" w:color="auto"/>
            </w:tcBorders>
            <w:shd w:val="clear" w:color="auto" w:fill="auto"/>
            <w:vAlign w:val="center"/>
            <w:hideMark/>
          </w:tcPr>
          <w:p w14:paraId="09AEED2B"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0.045 </w:t>
            </w:r>
          </w:p>
        </w:tc>
        <w:tc>
          <w:tcPr>
            <w:tcW w:w="1540" w:type="dxa"/>
            <w:tcBorders>
              <w:top w:val="nil"/>
              <w:left w:val="nil"/>
              <w:bottom w:val="single" w:sz="4" w:space="0" w:color="auto"/>
              <w:right w:val="single" w:sz="4" w:space="0" w:color="auto"/>
            </w:tcBorders>
            <w:shd w:val="clear" w:color="auto" w:fill="auto"/>
            <w:noWrap/>
            <w:vAlign w:val="center"/>
            <w:hideMark/>
          </w:tcPr>
          <w:p w14:paraId="16CD5122"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0.064 </w:t>
            </w:r>
          </w:p>
        </w:tc>
        <w:tc>
          <w:tcPr>
            <w:tcW w:w="1540" w:type="dxa"/>
            <w:tcBorders>
              <w:top w:val="nil"/>
              <w:left w:val="nil"/>
              <w:bottom w:val="single" w:sz="4" w:space="0" w:color="auto"/>
              <w:right w:val="single" w:sz="4" w:space="0" w:color="auto"/>
            </w:tcBorders>
            <w:shd w:val="clear" w:color="auto" w:fill="auto"/>
            <w:noWrap/>
            <w:vAlign w:val="center"/>
            <w:hideMark/>
          </w:tcPr>
          <w:p w14:paraId="5DAE35E7"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1,486</w:t>
            </w:r>
          </w:p>
        </w:tc>
      </w:tr>
      <w:tr w:rsidR="0032335C" w:rsidRPr="00C63A39" w14:paraId="1C962F55"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41058D97" w14:textId="4A2A0A81" w:rsidR="0032335C" w:rsidRPr="00C63A39" w:rsidRDefault="0032335C" w:rsidP="0032335C">
            <w:pPr>
              <w:rPr>
                <w:color w:val="000000"/>
                <w:kern w:val="22"/>
                <w:szCs w:val="22"/>
                <w:lang w:val="fr-FR" w:eastAsia="en-CA"/>
              </w:rPr>
            </w:pPr>
            <w:r w:rsidRPr="00C63A39">
              <w:rPr>
                <w:szCs w:val="22"/>
                <w:lang w:val="fr-FR"/>
              </w:rPr>
              <w:t>Papouasie-Nouvelle-Guinée</w:t>
            </w:r>
          </w:p>
        </w:tc>
        <w:tc>
          <w:tcPr>
            <w:tcW w:w="1540" w:type="dxa"/>
            <w:tcBorders>
              <w:top w:val="nil"/>
              <w:left w:val="nil"/>
              <w:bottom w:val="single" w:sz="4" w:space="0" w:color="auto"/>
              <w:right w:val="single" w:sz="4" w:space="0" w:color="auto"/>
            </w:tcBorders>
            <w:shd w:val="clear" w:color="auto" w:fill="auto"/>
            <w:vAlign w:val="center"/>
            <w:hideMark/>
          </w:tcPr>
          <w:p w14:paraId="0D15BFFC"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1672F021"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0.014 </w:t>
            </w:r>
          </w:p>
        </w:tc>
        <w:tc>
          <w:tcPr>
            <w:tcW w:w="1540" w:type="dxa"/>
            <w:tcBorders>
              <w:top w:val="nil"/>
              <w:left w:val="nil"/>
              <w:bottom w:val="single" w:sz="4" w:space="0" w:color="auto"/>
              <w:right w:val="single" w:sz="4" w:space="0" w:color="auto"/>
            </w:tcBorders>
            <w:shd w:val="clear" w:color="auto" w:fill="auto"/>
            <w:noWrap/>
            <w:vAlign w:val="center"/>
            <w:hideMark/>
          </w:tcPr>
          <w:p w14:paraId="5272E3B3"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330</w:t>
            </w:r>
          </w:p>
        </w:tc>
      </w:tr>
      <w:tr w:rsidR="0032335C" w:rsidRPr="00C63A39" w14:paraId="1AB42E37"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48A29989" w14:textId="777D9625" w:rsidR="0032335C" w:rsidRPr="00C63A39" w:rsidRDefault="0032335C" w:rsidP="0032335C">
            <w:pPr>
              <w:rPr>
                <w:color w:val="000000"/>
                <w:kern w:val="22"/>
                <w:szCs w:val="22"/>
                <w:lang w:val="fr-FR" w:eastAsia="en-CA"/>
              </w:rPr>
            </w:pPr>
            <w:r w:rsidRPr="00C63A39">
              <w:rPr>
                <w:szCs w:val="22"/>
                <w:lang w:val="fr-FR"/>
              </w:rPr>
              <w:t>Paraguay</w:t>
            </w:r>
          </w:p>
        </w:tc>
        <w:tc>
          <w:tcPr>
            <w:tcW w:w="1540" w:type="dxa"/>
            <w:tcBorders>
              <w:top w:val="nil"/>
              <w:left w:val="nil"/>
              <w:bottom w:val="single" w:sz="4" w:space="0" w:color="auto"/>
              <w:right w:val="single" w:sz="4" w:space="0" w:color="auto"/>
            </w:tcBorders>
            <w:shd w:val="clear" w:color="auto" w:fill="auto"/>
            <w:vAlign w:val="center"/>
            <w:hideMark/>
          </w:tcPr>
          <w:p w14:paraId="20E8E574"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0.016 </w:t>
            </w:r>
          </w:p>
        </w:tc>
        <w:tc>
          <w:tcPr>
            <w:tcW w:w="1540" w:type="dxa"/>
            <w:tcBorders>
              <w:top w:val="nil"/>
              <w:left w:val="nil"/>
              <w:bottom w:val="single" w:sz="4" w:space="0" w:color="auto"/>
              <w:right w:val="single" w:sz="4" w:space="0" w:color="auto"/>
            </w:tcBorders>
            <w:shd w:val="clear" w:color="auto" w:fill="auto"/>
            <w:noWrap/>
            <w:vAlign w:val="center"/>
            <w:hideMark/>
          </w:tcPr>
          <w:p w14:paraId="21B74DF6"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0.023 </w:t>
            </w:r>
          </w:p>
        </w:tc>
        <w:tc>
          <w:tcPr>
            <w:tcW w:w="1540" w:type="dxa"/>
            <w:tcBorders>
              <w:top w:val="nil"/>
              <w:left w:val="nil"/>
              <w:bottom w:val="single" w:sz="4" w:space="0" w:color="auto"/>
              <w:right w:val="single" w:sz="4" w:space="0" w:color="auto"/>
            </w:tcBorders>
            <w:shd w:val="clear" w:color="auto" w:fill="auto"/>
            <w:noWrap/>
            <w:vAlign w:val="center"/>
            <w:hideMark/>
          </w:tcPr>
          <w:p w14:paraId="1036A066"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528</w:t>
            </w:r>
          </w:p>
        </w:tc>
      </w:tr>
      <w:tr w:rsidR="0032335C" w:rsidRPr="00C63A39" w14:paraId="05C3ECD6"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0D5DC090" w14:textId="2452D6E6" w:rsidR="0032335C" w:rsidRPr="00C63A39" w:rsidRDefault="0032335C" w:rsidP="0032335C">
            <w:pPr>
              <w:rPr>
                <w:color w:val="000000"/>
                <w:kern w:val="22"/>
                <w:szCs w:val="22"/>
                <w:lang w:val="fr-FR" w:eastAsia="en-CA"/>
              </w:rPr>
            </w:pPr>
            <w:r w:rsidRPr="00C63A39">
              <w:rPr>
                <w:szCs w:val="22"/>
                <w:lang w:val="fr-FR"/>
              </w:rPr>
              <w:t>Pérou</w:t>
            </w:r>
          </w:p>
        </w:tc>
        <w:tc>
          <w:tcPr>
            <w:tcW w:w="1540" w:type="dxa"/>
            <w:tcBorders>
              <w:top w:val="nil"/>
              <w:left w:val="nil"/>
              <w:bottom w:val="single" w:sz="4" w:space="0" w:color="auto"/>
              <w:right w:val="single" w:sz="4" w:space="0" w:color="auto"/>
            </w:tcBorders>
            <w:shd w:val="clear" w:color="auto" w:fill="auto"/>
            <w:vAlign w:val="center"/>
            <w:hideMark/>
          </w:tcPr>
          <w:p w14:paraId="60B0F9DA"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0.152 </w:t>
            </w:r>
          </w:p>
        </w:tc>
        <w:tc>
          <w:tcPr>
            <w:tcW w:w="1540" w:type="dxa"/>
            <w:tcBorders>
              <w:top w:val="nil"/>
              <w:left w:val="nil"/>
              <w:bottom w:val="single" w:sz="4" w:space="0" w:color="auto"/>
              <w:right w:val="single" w:sz="4" w:space="0" w:color="auto"/>
            </w:tcBorders>
            <w:shd w:val="clear" w:color="auto" w:fill="auto"/>
            <w:noWrap/>
            <w:vAlign w:val="center"/>
            <w:hideMark/>
          </w:tcPr>
          <w:p w14:paraId="006DFA1D"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0.217 </w:t>
            </w:r>
          </w:p>
        </w:tc>
        <w:tc>
          <w:tcPr>
            <w:tcW w:w="1540" w:type="dxa"/>
            <w:tcBorders>
              <w:top w:val="nil"/>
              <w:left w:val="nil"/>
              <w:bottom w:val="single" w:sz="4" w:space="0" w:color="auto"/>
              <w:right w:val="single" w:sz="4" w:space="0" w:color="auto"/>
            </w:tcBorders>
            <w:shd w:val="clear" w:color="auto" w:fill="auto"/>
            <w:noWrap/>
            <w:vAlign w:val="center"/>
            <w:hideMark/>
          </w:tcPr>
          <w:p w14:paraId="1620DCD1"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5,020</w:t>
            </w:r>
          </w:p>
        </w:tc>
      </w:tr>
      <w:tr w:rsidR="0032335C" w:rsidRPr="00C63A39" w14:paraId="55FC1243"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4861817B" w14:textId="547AB3FB" w:rsidR="0032335C" w:rsidRPr="00C63A39" w:rsidRDefault="0032335C" w:rsidP="0032335C">
            <w:pPr>
              <w:rPr>
                <w:color w:val="000000"/>
                <w:kern w:val="22"/>
                <w:szCs w:val="22"/>
                <w:lang w:val="fr-FR" w:eastAsia="en-CA"/>
              </w:rPr>
            </w:pPr>
            <w:r w:rsidRPr="00C63A39">
              <w:rPr>
                <w:szCs w:val="22"/>
                <w:lang w:val="fr-FR"/>
              </w:rPr>
              <w:t>Philippines</w:t>
            </w:r>
          </w:p>
        </w:tc>
        <w:tc>
          <w:tcPr>
            <w:tcW w:w="1540" w:type="dxa"/>
            <w:tcBorders>
              <w:top w:val="nil"/>
              <w:left w:val="nil"/>
              <w:bottom w:val="single" w:sz="4" w:space="0" w:color="auto"/>
              <w:right w:val="single" w:sz="4" w:space="0" w:color="auto"/>
            </w:tcBorders>
            <w:shd w:val="clear" w:color="auto" w:fill="auto"/>
            <w:vAlign w:val="center"/>
            <w:hideMark/>
          </w:tcPr>
          <w:p w14:paraId="5FB12290"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0.205 </w:t>
            </w:r>
          </w:p>
        </w:tc>
        <w:tc>
          <w:tcPr>
            <w:tcW w:w="1540" w:type="dxa"/>
            <w:tcBorders>
              <w:top w:val="nil"/>
              <w:left w:val="nil"/>
              <w:bottom w:val="single" w:sz="4" w:space="0" w:color="auto"/>
              <w:right w:val="single" w:sz="4" w:space="0" w:color="auto"/>
            </w:tcBorders>
            <w:shd w:val="clear" w:color="auto" w:fill="auto"/>
            <w:noWrap/>
            <w:vAlign w:val="center"/>
            <w:hideMark/>
          </w:tcPr>
          <w:p w14:paraId="2987CC6D"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0.293 </w:t>
            </w:r>
          </w:p>
        </w:tc>
        <w:tc>
          <w:tcPr>
            <w:tcW w:w="1540" w:type="dxa"/>
            <w:tcBorders>
              <w:top w:val="nil"/>
              <w:left w:val="nil"/>
              <w:bottom w:val="single" w:sz="4" w:space="0" w:color="auto"/>
              <w:right w:val="single" w:sz="4" w:space="0" w:color="auto"/>
            </w:tcBorders>
            <w:shd w:val="clear" w:color="auto" w:fill="auto"/>
            <w:noWrap/>
            <w:vAlign w:val="center"/>
            <w:hideMark/>
          </w:tcPr>
          <w:p w14:paraId="59BA2A78"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6,770</w:t>
            </w:r>
          </w:p>
        </w:tc>
      </w:tr>
      <w:tr w:rsidR="0032335C" w:rsidRPr="00C63A39" w14:paraId="31D52239"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425577EB" w14:textId="71D25A9E" w:rsidR="0032335C" w:rsidRPr="00C63A39" w:rsidRDefault="0032335C" w:rsidP="0032335C">
            <w:pPr>
              <w:rPr>
                <w:color w:val="000000"/>
                <w:kern w:val="22"/>
                <w:szCs w:val="22"/>
                <w:lang w:val="fr-FR" w:eastAsia="en-CA"/>
              </w:rPr>
            </w:pPr>
            <w:r w:rsidRPr="00C63A39">
              <w:rPr>
                <w:szCs w:val="22"/>
                <w:lang w:val="fr-FR"/>
              </w:rPr>
              <w:t>Pologne</w:t>
            </w:r>
          </w:p>
        </w:tc>
        <w:tc>
          <w:tcPr>
            <w:tcW w:w="1540" w:type="dxa"/>
            <w:tcBorders>
              <w:top w:val="nil"/>
              <w:left w:val="nil"/>
              <w:bottom w:val="single" w:sz="4" w:space="0" w:color="auto"/>
              <w:right w:val="single" w:sz="4" w:space="0" w:color="auto"/>
            </w:tcBorders>
            <w:shd w:val="clear" w:color="auto" w:fill="auto"/>
            <w:vAlign w:val="center"/>
            <w:hideMark/>
          </w:tcPr>
          <w:p w14:paraId="63E65B92"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0.802 </w:t>
            </w:r>
          </w:p>
        </w:tc>
        <w:tc>
          <w:tcPr>
            <w:tcW w:w="1540" w:type="dxa"/>
            <w:tcBorders>
              <w:top w:val="nil"/>
              <w:left w:val="nil"/>
              <w:bottom w:val="single" w:sz="4" w:space="0" w:color="auto"/>
              <w:right w:val="single" w:sz="4" w:space="0" w:color="auto"/>
            </w:tcBorders>
            <w:shd w:val="clear" w:color="auto" w:fill="auto"/>
            <w:noWrap/>
            <w:vAlign w:val="center"/>
            <w:hideMark/>
          </w:tcPr>
          <w:p w14:paraId="1753CAC8"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1.146 </w:t>
            </w:r>
          </w:p>
        </w:tc>
        <w:tc>
          <w:tcPr>
            <w:tcW w:w="1540" w:type="dxa"/>
            <w:tcBorders>
              <w:top w:val="nil"/>
              <w:left w:val="nil"/>
              <w:bottom w:val="single" w:sz="4" w:space="0" w:color="auto"/>
              <w:right w:val="single" w:sz="4" w:space="0" w:color="auto"/>
            </w:tcBorders>
            <w:shd w:val="clear" w:color="auto" w:fill="auto"/>
            <w:noWrap/>
            <w:vAlign w:val="center"/>
            <w:hideMark/>
          </w:tcPr>
          <w:p w14:paraId="04970CDD"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26,486</w:t>
            </w:r>
          </w:p>
        </w:tc>
      </w:tr>
      <w:tr w:rsidR="0032335C" w:rsidRPr="00C63A39" w14:paraId="1D5E06AF"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588EB76D" w14:textId="35BD4DDE" w:rsidR="0032335C" w:rsidRPr="00C63A39" w:rsidRDefault="0032335C" w:rsidP="0032335C">
            <w:pPr>
              <w:rPr>
                <w:color w:val="000000"/>
                <w:kern w:val="22"/>
                <w:szCs w:val="22"/>
                <w:lang w:val="fr-FR" w:eastAsia="en-CA"/>
              </w:rPr>
            </w:pPr>
            <w:r w:rsidRPr="00C63A39">
              <w:rPr>
                <w:szCs w:val="22"/>
                <w:lang w:val="fr-FR"/>
              </w:rPr>
              <w:t>Portugal</w:t>
            </w:r>
          </w:p>
        </w:tc>
        <w:tc>
          <w:tcPr>
            <w:tcW w:w="1540" w:type="dxa"/>
            <w:tcBorders>
              <w:top w:val="nil"/>
              <w:left w:val="nil"/>
              <w:bottom w:val="single" w:sz="4" w:space="0" w:color="auto"/>
              <w:right w:val="single" w:sz="4" w:space="0" w:color="auto"/>
            </w:tcBorders>
            <w:shd w:val="clear" w:color="auto" w:fill="auto"/>
            <w:vAlign w:val="center"/>
            <w:hideMark/>
          </w:tcPr>
          <w:p w14:paraId="761FBED0"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0.350 </w:t>
            </w:r>
          </w:p>
        </w:tc>
        <w:tc>
          <w:tcPr>
            <w:tcW w:w="1540" w:type="dxa"/>
            <w:tcBorders>
              <w:top w:val="nil"/>
              <w:left w:val="nil"/>
              <w:bottom w:val="single" w:sz="4" w:space="0" w:color="auto"/>
              <w:right w:val="single" w:sz="4" w:space="0" w:color="auto"/>
            </w:tcBorders>
            <w:shd w:val="clear" w:color="auto" w:fill="auto"/>
            <w:noWrap/>
            <w:vAlign w:val="center"/>
            <w:hideMark/>
          </w:tcPr>
          <w:p w14:paraId="3AE8392F"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0.500 </w:t>
            </w:r>
          </w:p>
        </w:tc>
        <w:tc>
          <w:tcPr>
            <w:tcW w:w="1540" w:type="dxa"/>
            <w:tcBorders>
              <w:top w:val="nil"/>
              <w:left w:val="nil"/>
              <w:bottom w:val="single" w:sz="4" w:space="0" w:color="auto"/>
              <w:right w:val="single" w:sz="4" w:space="0" w:color="auto"/>
            </w:tcBorders>
            <w:shd w:val="clear" w:color="auto" w:fill="auto"/>
            <w:noWrap/>
            <w:vAlign w:val="center"/>
            <w:hideMark/>
          </w:tcPr>
          <w:p w14:paraId="79E69138"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11,559</w:t>
            </w:r>
          </w:p>
        </w:tc>
      </w:tr>
      <w:tr w:rsidR="0032335C" w:rsidRPr="00C63A39" w14:paraId="26D2CCEC"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3B332C6F" w14:textId="35AFF78C" w:rsidR="0032335C" w:rsidRPr="00C63A39" w:rsidRDefault="0032335C" w:rsidP="0032335C">
            <w:pPr>
              <w:rPr>
                <w:color w:val="000000"/>
                <w:kern w:val="22"/>
                <w:szCs w:val="22"/>
                <w:lang w:val="fr-FR" w:eastAsia="en-CA"/>
              </w:rPr>
            </w:pPr>
            <w:r w:rsidRPr="00C63A39">
              <w:rPr>
                <w:szCs w:val="22"/>
                <w:lang w:val="fr-FR"/>
              </w:rPr>
              <w:t>Qatar</w:t>
            </w:r>
          </w:p>
        </w:tc>
        <w:tc>
          <w:tcPr>
            <w:tcW w:w="1540" w:type="dxa"/>
            <w:tcBorders>
              <w:top w:val="nil"/>
              <w:left w:val="nil"/>
              <w:bottom w:val="single" w:sz="4" w:space="0" w:color="auto"/>
              <w:right w:val="single" w:sz="4" w:space="0" w:color="auto"/>
            </w:tcBorders>
            <w:shd w:val="clear" w:color="auto" w:fill="auto"/>
            <w:vAlign w:val="center"/>
            <w:hideMark/>
          </w:tcPr>
          <w:p w14:paraId="353C7564"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0.282 </w:t>
            </w:r>
          </w:p>
        </w:tc>
        <w:tc>
          <w:tcPr>
            <w:tcW w:w="1540" w:type="dxa"/>
            <w:tcBorders>
              <w:top w:val="nil"/>
              <w:left w:val="nil"/>
              <w:bottom w:val="single" w:sz="4" w:space="0" w:color="auto"/>
              <w:right w:val="single" w:sz="4" w:space="0" w:color="auto"/>
            </w:tcBorders>
            <w:shd w:val="clear" w:color="auto" w:fill="auto"/>
            <w:noWrap/>
            <w:vAlign w:val="center"/>
            <w:hideMark/>
          </w:tcPr>
          <w:p w14:paraId="6B7059B6"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0.403 </w:t>
            </w:r>
          </w:p>
        </w:tc>
        <w:tc>
          <w:tcPr>
            <w:tcW w:w="1540" w:type="dxa"/>
            <w:tcBorders>
              <w:top w:val="nil"/>
              <w:left w:val="nil"/>
              <w:bottom w:val="single" w:sz="4" w:space="0" w:color="auto"/>
              <w:right w:val="single" w:sz="4" w:space="0" w:color="auto"/>
            </w:tcBorders>
            <w:shd w:val="clear" w:color="auto" w:fill="auto"/>
            <w:noWrap/>
            <w:vAlign w:val="center"/>
            <w:hideMark/>
          </w:tcPr>
          <w:p w14:paraId="502E99E5"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9,313</w:t>
            </w:r>
          </w:p>
        </w:tc>
      </w:tr>
      <w:tr w:rsidR="0032335C" w:rsidRPr="00C63A39" w14:paraId="47B37886"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000C2E57" w14:textId="520C5EA0" w:rsidR="0032335C" w:rsidRPr="00C63A39" w:rsidRDefault="0032335C" w:rsidP="0032335C">
            <w:pPr>
              <w:rPr>
                <w:color w:val="000000"/>
                <w:kern w:val="22"/>
                <w:szCs w:val="22"/>
                <w:lang w:val="fr-FR" w:eastAsia="en-CA"/>
              </w:rPr>
            </w:pPr>
            <w:r w:rsidRPr="00C63A39">
              <w:rPr>
                <w:szCs w:val="22"/>
                <w:lang w:val="fr-FR"/>
              </w:rPr>
              <w:t>République de Corée</w:t>
            </w:r>
          </w:p>
        </w:tc>
        <w:tc>
          <w:tcPr>
            <w:tcW w:w="1540" w:type="dxa"/>
            <w:tcBorders>
              <w:top w:val="nil"/>
              <w:left w:val="nil"/>
              <w:bottom w:val="single" w:sz="4" w:space="0" w:color="auto"/>
              <w:right w:val="single" w:sz="4" w:space="0" w:color="auto"/>
            </w:tcBorders>
            <w:shd w:val="clear" w:color="auto" w:fill="auto"/>
            <w:vAlign w:val="center"/>
            <w:hideMark/>
          </w:tcPr>
          <w:p w14:paraId="6E5A6059"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2.267 </w:t>
            </w:r>
          </w:p>
        </w:tc>
        <w:tc>
          <w:tcPr>
            <w:tcW w:w="1540" w:type="dxa"/>
            <w:tcBorders>
              <w:top w:val="nil"/>
              <w:left w:val="nil"/>
              <w:bottom w:val="single" w:sz="4" w:space="0" w:color="auto"/>
              <w:right w:val="single" w:sz="4" w:space="0" w:color="auto"/>
            </w:tcBorders>
            <w:shd w:val="clear" w:color="auto" w:fill="auto"/>
            <w:noWrap/>
            <w:vAlign w:val="center"/>
            <w:hideMark/>
          </w:tcPr>
          <w:p w14:paraId="1C2F1EA3"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3.239 </w:t>
            </w:r>
          </w:p>
        </w:tc>
        <w:tc>
          <w:tcPr>
            <w:tcW w:w="1540" w:type="dxa"/>
            <w:tcBorders>
              <w:top w:val="nil"/>
              <w:left w:val="nil"/>
              <w:bottom w:val="single" w:sz="4" w:space="0" w:color="auto"/>
              <w:right w:val="single" w:sz="4" w:space="0" w:color="auto"/>
            </w:tcBorders>
            <w:shd w:val="clear" w:color="auto" w:fill="auto"/>
            <w:noWrap/>
            <w:vAlign w:val="center"/>
            <w:hideMark/>
          </w:tcPr>
          <w:p w14:paraId="56B70E7B"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74,866</w:t>
            </w:r>
          </w:p>
        </w:tc>
      </w:tr>
      <w:tr w:rsidR="0032335C" w:rsidRPr="00C63A39" w14:paraId="5F858F98"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4B237F7A" w14:textId="1FDA9511" w:rsidR="0032335C" w:rsidRPr="00C63A39" w:rsidRDefault="0032335C" w:rsidP="0032335C">
            <w:pPr>
              <w:rPr>
                <w:color w:val="000000"/>
                <w:kern w:val="22"/>
                <w:szCs w:val="22"/>
                <w:lang w:val="fr-FR" w:eastAsia="en-CA"/>
              </w:rPr>
            </w:pPr>
            <w:r w:rsidRPr="00C63A39">
              <w:rPr>
                <w:szCs w:val="22"/>
                <w:lang w:val="fr-FR"/>
              </w:rPr>
              <w:t>République de Moldavie</w:t>
            </w:r>
          </w:p>
        </w:tc>
        <w:tc>
          <w:tcPr>
            <w:tcW w:w="1540" w:type="dxa"/>
            <w:tcBorders>
              <w:top w:val="nil"/>
              <w:left w:val="nil"/>
              <w:bottom w:val="single" w:sz="4" w:space="0" w:color="auto"/>
              <w:right w:val="single" w:sz="4" w:space="0" w:color="auto"/>
            </w:tcBorders>
            <w:shd w:val="clear" w:color="auto" w:fill="auto"/>
            <w:vAlign w:val="center"/>
            <w:hideMark/>
          </w:tcPr>
          <w:p w14:paraId="2BDE3A25"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07697A95"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74905123"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99</w:t>
            </w:r>
          </w:p>
        </w:tc>
      </w:tr>
      <w:tr w:rsidR="0032335C" w:rsidRPr="00C63A39" w14:paraId="1AB8BE4D"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21E29901" w14:textId="422DC6E2" w:rsidR="0032335C" w:rsidRPr="00C63A39" w:rsidRDefault="0032335C" w:rsidP="0032335C">
            <w:pPr>
              <w:rPr>
                <w:color w:val="000000"/>
                <w:kern w:val="22"/>
                <w:szCs w:val="22"/>
                <w:lang w:val="fr-FR" w:eastAsia="en-CA"/>
              </w:rPr>
            </w:pPr>
            <w:r w:rsidRPr="00C63A39">
              <w:rPr>
                <w:szCs w:val="22"/>
                <w:lang w:val="fr-FR"/>
              </w:rPr>
              <w:t>Roumanie</w:t>
            </w:r>
          </w:p>
        </w:tc>
        <w:tc>
          <w:tcPr>
            <w:tcW w:w="1540" w:type="dxa"/>
            <w:tcBorders>
              <w:top w:val="nil"/>
              <w:left w:val="nil"/>
              <w:bottom w:val="single" w:sz="4" w:space="0" w:color="auto"/>
              <w:right w:val="single" w:sz="4" w:space="0" w:color="auto"/>
            </w:tcBorders>
            <w:shd w:val="clear" w:color="auto" w:fill="auto"/>
            <w:vAlign w:val="center"/>
            <w:hideMark/>
          </w:tcPr>
          <w:p w14:paraId="0D148C97"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0.198 </w:t>
            </w:r>
          </w:p>
        </w:tc>
        <w:tc>
          <w:tcPr>
            <w:tcW w:w="1540" w:type="dxa"/>
            <w:tcBorders>
              <w:top w:val="nil"/>
              <w:left w:val="nil"/>
              <w:bottom w:val="single" w:sz="4" w:space="0" w:color="auto"/>
              <w:right w:val="single" w:sz="4" w:space="0" w:color="auto"/>
            </w:tcBorders>
            <w:shd w:val="clear" w:color="auto" w:fill="auto"/>
            <w:noWrap/>
            <w:vAlign w:val="center"/>
            <w:hideMark/>
          </w:tcPr>
          <w:p w14:paraId="68622C6F"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0.283 </w:t>
            </w:r>
          </w:p>
        </w:tc>
        <w:tc>
          <w:tcPr>
            <w:tcW w:w="1540" w:type="dxa"/>
            <w:tcBorders>
              <w:top w:val="nil"/>
              <w:left w:val="nil"/>
              <w:bottom w:val="single" w:sz="4" w:space="0" w:color="auto"/>
              <w:right w:val="single" w:sz="4" w:space="0" w:color="auto"/>
            </w:tcBorders>
            <w:shd w:val="clear" w:color="auto" w:fill="auto"/>
            <w:noWrap/>
            <w:vAlign w:val="center"/>
            <w:hideMark/>
          </w:tcPr>
          <w:p w14:paraId="194F8547"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6,539</w:t>
            </w:r>
          </w:p>
        </w:tc>
      </w:tr>
      <w:tr w:rsidR="0032335C" w:rsidRPr="00C63A39" w14:paraId="3F393F61"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3C694AB8" w14:textId="627DE23C" w:rsidR="0032335C" w:rsidRPr="00C63A39" w:rsidRDefault="0032335C" w:rsidP="0032335C">
            <w:pPr>
              <w:rPr>
                <w:color w:val="000000"/>
                <w:kern w:val="22"/>
                <w:szCs w:val="22"/>
                <w:lang w:val="fr-FR" w:eastAsia="en-CA"/>
              </w:rPr>
            </w:pPr>
            <w:r w:rsidRPr="00C63A39">
              <w:rPr>
                <w:szCs w:val="22"/>
                <w:lang w:val="fr-FR"/>
              </w:rPr>
              <w:t>Rwanda</w:t>
            </w:r>
          </w:p>
        </w:tc>
        <w:tc>
          <w:tcPr>
            <w:tcW w:w="1540" w:type="dxa"/>
            <w:tcBorders>
              <w:top w:val="nil"/>
              <w:left w:val="nil"/>
              <w:bottom w:val="single" w:sz="4" w:space="0" w:color="auto"/>
              <w:right w:val="single" w:sz="4" w:space="0" w:color="auto"/>
            </w:tcBorders>
            <w:shd w:val="clear" w:color="auto" w:fill="auto"/>
            <w:vAlign w:val="center"/>
            <w:hideMark/>
          </w:tcPr>
          <w:p w14:paraId="2E6437E8"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55C1888F"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7CA0C883"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99</w:t>
            </w:r>
          </w:p>
        </w:tc>
      </w:tr>
      <w:tr w:rsidR="0032335C" w:rsidRPr="00C63A39" w14:paraId="5B0A05F1"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12413466" w14:textId="14133BDA" w:rsidR="0032335C" w:rsidRPr="00C63A39" w:rsidRDefault="0032335C" w:rsidP="0032335C">
            <w:pPr>
              <w:rPr>
                <w:color w:val="000000"/>
                <w:kern w:val="22"/>
                <w:szCs w:val="22"/>
                <w:lang w:val="fr-FR" w:eastAsia="en-CA"/>
              </w:rPr>
            </w:pPr>
            <w:r w:rsidRPr="00C63A39">
              <w:rPr>
                <w:szCs w:val="22"/>
                <w:lang w:val="fr-FR"/>
              </w:rPr>
              <w:t>Saint-Christophe-et-Nevis</w:t>
            </w:r>
          </w:p>
        </w:tc>
        <w:tc>
          <w:tcPr>
            <w:tcW w:w="1540" w:type="dxa"/>
            <w:tcBorders>
              <w:top w:val="nil"/>
              <w:left w:val="nil"/>
              <w:bottom w:val="single" w:sz="4" w:space="0" w:color="auto"/>
              <w:right w:val="single" w:sz="4" w:space="0" w:color="auto"/>
            </w:tcBorders>
            <w:shd w:val="clear" w:color="auto" w:fill="auto"/>
            <w:vAlign w:val="center"/>
            <w:hideMark/>
          </w:tcPr>
          <w:p w14:paraId="6A83DD75"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5FD3B861"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58554A23"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33</w:t>
            </w:r>
          </w:p>
        </w:tc>
      </w:tr>
      <w:tr w:rsidR="0032335C" w:rsidRPr="00C63A39" w14:paraId="50D4EC3E"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2A92D79A" w14:textId="351524EE" w:rsidR="0032335C" w:rsidRPr="00C63A39" w:rsidRDefault="0032335C" w:rsidP="0032335C">
            <w:pPr>
              <w:rPr>
                <w:color w:val="000000"/>
                <w:kern w:val="22"/>
                <w:szCs w:val="22"/>
                <w:lang w:val="fr-FR" w:eastAsia="en-CA"/>
              </w:rPr>
            </w:pPr>
            <w:r w:rsidRPr="00C63A39">
              <w:rPr>
                <w:szCs w:val="22"/>
                <w:lang w:val="fr-FR"/>
              </w:rPr>
              <w:t>Sainte-Lucie</w:t>
            </w:r>
          </w:p>
        </w:tc>
        <w:tc>
          <w:tcPr>
            <w:tcW w:w="1540" w:type="dxa"/>
            <w:tcBorders>
              <w:top w:val="nil"/>
              <w:left w:val="nil"/>
              <w:bottom w:val="single" w:sz="4" w:space="0" w:color="auto"/>
              <w:right w:val="single" w:sz="4" w:space="0" w:color="auto"/>
            </w:tcBorders>
            <w:shd w:val="clear" w:color="auto" w:fill="auto"/>
            <w:vAlign w:val="center"/>
            <w:hideMark/>
          </w:tcPr>
          <w:p w14:paraId="5E65FBBF"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0977AF33"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4F88DEB7"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33</w:t>
            </w:r>
          </w:p>
        </w:tc>
      </w:tr>
      <w:tr w:rsidR="0032335C" w:rsidRPr="00C63A39" w14:paraId="395F91E2"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1377F798" w14:textId="502DC54E" w:rsidR="0032335C" w:rsidRPr="00C63A39" w:rsidRDefault="0032335C" w:rsidP="0032335C">
            <w:pPr>
              <w:rPr>
                <w:color w:val="000000"/>
                <w:kern w:val="22"/>
                <w:szCs w:val="22"/>
                <w:lang w:val="fr-FR" w:eastAsia="en-CA"/>
              </w:rPr>
            </w:pPr>
            <w:r w:rsidRPr="00C63A39">
              <w:rPr>
                <w:szCs w:val="22"/>
                <w:lang w:val="fr-FR"/>
              </w:rPr>
              <w:t>Saint Vincent et les Grenadines</w:t>
            </w:r>
          </w:p>
        </w:tc>
        <w:tc>
          <w:tcPr>
            <w:tcW w:w="1540" w:type="dxa"/>
            <w:tcBorders>
              <w:top w:val="nil"/>
              <w:left w:val="nil"/>
              <w:bottom w:val="single" w:sz="4" w:space="0" w:color="auto"/>
              <w:right w:val="single" w:sz="4" w:space="0" w:color="auto"/>
            </w:tcBorders>
            <w:shd w:val="clear" w:color="auto" w:fill="auto"/>
            <w:vAlign w:val="center"/>
            <w:hideMark/>
          </w:tcPr>
          <w:p w14:paraId="7C62395D"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5F3F98FF"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25DD645A"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33</w:t>
            </w:r>
          </w:p>
        </w:tc>
      </w:tr>
      <w:tr w:rsidR="0032335C" w:rsidRPr="00C63A39" w14:paraId="62DB75C4"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226C65FE" w14:textId="52390F3E" w:rsidR="0032335C" w:rsidRPr="00C63A39" w:rsidRDefault="0032335C" w:rsidP="0032335C">
            <w:pPr>
              <w:rPr>
                <w:color w:val="000000"/>
                <w:kern w:val="22"/>
                <w:szCs w:val="22"/>
                <w:lang w:val="fr-FR" w:eastAsia="en-CA"/>
              </w:rPr>
            </w:pPr>
            <w:r w:rsidRPr="00C63A39">
              <w:rPr>
                <w:szCs w:val="22"/>
                <w:lang w:val="fr-FR"/>
              </w:rPr>
              <w:t>Samoa</w:t>
            </w:r>
          </w:p>
        </w:tc>
        <w:tc>
          <w:tcPr>
            <w:tcW w:w="1540" w:type="dxa"/>
            <w:tcBorders>
              <w:top w:val="nil"/>
              <w:left w:val="nil"/>
              <w:bottom w:val="single" w:sz="4" w:space="0" w:color="auto"/>
              <w:right w:val="single" w:sz="4" w:space="0" w:color="auto"/>
            </w:tcBorders>
            <w:shd w:val="clear" w:color="auto" w:fill="auto"/>
            <w:vAlign w:val="center"/>
            <w:hideMark/>
          </w:tcPr>
          <w:p w14:paraId="3391816A"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701E8590"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5DF6DF25"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33</w:t>
            </w:r>
          </w:p>
        </w:tc>
      </w:tr>
      <w:tr w:rsidR="0032335C" w:rsidRPr="00C63A39" w14:paraId="13E76AD3"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1841CC8D" w14:textId="1AB12438" w:rsidR="0032335C" w:rsidRPr="00C63A39" w:rsidRDefault="0032335C" w:rsidP="0032335C">
            <w:pPr>
              <w:rPr>
                <w:color w:val="000000"/>
                <w:kern w:val="22"/>
                <w:szCs w:val="22"/>
                <w:lang w:val="fr-FR" w:eastAsia="en-CA"/>
              </w:rPr>
            </w:pPr>
            <w:r w:rsidRPr="00C63A39">
              <w:rPr>
                <w:szCs w:val="22"/>
                <w:lang w:val="fr-FR"/>
              </w:rPr>
              <w:t>Arabie Saoudite</w:t>
            </w:r>
          </w:p>
        </w:tc>
        <w:tc>
          <w:tcPr>
            <w:tcW w:w="1540" w:type="dxa"/>
            <w:tcBorders>
              <w:top w:val="nil"/>
              <w:left w:val="nil"/>
              <w:bottom w:val="single" w:sz="4" w:space="0" w:color="auto"/>
              <w:right w:val="single" w:sz="4" w:space="0" w:color="auto"/>
            </w:tcBorders>
            <w:shd w:val="clear" w:color="auto" w:fill="auto"/>
            <w:vAlign w:val="center"/>
            <w:hideMark/>
          </w:tcPr>
          <w:p w14:paraId="2F5109BA"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1.172 </w:t>
            </w:r>
          </w:p>
        </w:tc>
        <w:tc>
          <w:tcPr>
            <w:tcW w:w="1540" w:type="dxa"/>
            <w:tcBorders>
              <w:top w:val="nil"/>
              <w:left w:val="nil"/>
              <w:bottom w:val="single" w:sz="4" w:space="0" w:color="auto"/>
              <w:right w:val="single" w:sz="4" w:space="0" w:color="auto"/>
            </w:tcBorders>
            <w:shd w:val="clear" w:color="auto" w:fill="auto"/>
            <w:noWrap/>
            <w:vAlign w:val="center"/>
            <w:hideMark/>
          </w:tcPr>
          <w:p w14:paraId="52EEE981"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1.675 </w:t>
            </w:r>
          </w:p>
        </w:tc>
        <w:tc>
          <w:tcPr>
            <w:tcW w:w="1540" w:type="dxa"/>
            <w:tcBorders>
              <w:top w:val="nil"/>
              <w:left w:val="nil"/>
              <w:bottom w:val="single" w:sz="4" w:space="0" w:color="auto"/>
              <w:right w:val="single" w:sz="4" w:space="0" w:color="auto"/>
            </w:tcBorders>
            <w:shd w:val="clear" w:color="auto" w:fill="auto"/>
            <w:noWrap/>
            <w:vAlign w:val="center"/>
            <w:hideMark/>
          </w:tcPr>
          <w:p w14:paraId="3280D7E6"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38,705</w:t>
            </w:r>
          </w:p>
        </w:tc>
      </w:tr>
      <w:tr w:rsidR="0032335C" w:rsidRPr="00C63A39" w14:paraId="1F77FD7A"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2FF9D315" w14:textId="2E6CCBFE" w:rsidR="0032335C" w:rsidRPr="00C63A39" w:rsidRDefault="0032335C" w:rsidP="0032335C">
            <w:pPr>
              <w:rPr>
                <w:color w:val="000000"/>
                <w:kern w:val="22"/>
                <w:szCs w:val="22"/>
                <w:lang w:val="fr-FR" w:eastAsia="en-CA"/>
              </w:rPr>
            </w:pPr>
            <w:r w:rsidRPr="00C63A39">
              <w:rPr>
                <w:szCs w:val="22"/>
                <w:lang w:val="fr-FR"/>
              </w:rPr>
              <w:t>Sénégal</w:t>
            </w:r>
          </w:p>
        </w:tc>
        <w:tc>
          <w:tcPr>
            <w:tcW w:w="1540" w:type="dxa"/>
            <w:tcBorders>
              <w:top w:val="nil"/>
              <w:left w:val="nil"/>
              <w:bottom w:val="single" w:sz="4" w:space="0" w:color="auto"/>
              <w:right w:val="single" w:sz="4" w:space="0" w:color="auto"/>
            </w:tcBorders>
            <w:shd w:val="clear" w:color="auto" w:fill="auto"/>
            <w:vAlign w:val="center"/>
            <w:hideMark/>
          </w:tcPr>
          <w:p w14:paraId="1E238979"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14:paraId="545DAD50"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28CEC568"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231</w:t>
            </w:r>
          </w:p>
        </w:tc>
      </w:tr>
      <w:tr w:rsidR="0032335C" w:rsidRPr="00C63A39" w14:paraId="0A345223"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5943EADD" w14:textId="4529541F" w:rsidR="0032335C" w:rsidRPr="00C63A39" w:rsidRDefault="0032335C" w:rsidP="0032335C">
            <w:pPr>
              <w:rPr>
                <w:color w:val="000000"/>
                <w:kern w:val="22"/>
                <w:szCs w:val="22"/>
                <w:lang w:val="fr-FR" w:eastAsia="en-CA"/>
              </w:rPr>
            </w:pPr>
            <w:r w:rsidRPr="00C63A39">
              <w:rPr>
                <w:szCs w:val="22"/>
                <w:lang w:val="fr-FR"/>
              </w:rPr>
              <w:t>Serbie</w:t>
            </w:r>
          </w:p>
        </w:tc>
        <w:tc>
          <w:tcPr>
            <w:tcW w:w="1540" w:type="dxa"/>
            <w:tcBorders>
              <w:top w:val="nil"/>
              <w:left w:val="nil"/>
              <w:bottom w:val="single" w:sz="4" w:space="0" w:color="auto"/>
              <w:right w:val="single" w:sz="4" w:space="0" w:color="auto"/>
            </w:tcBorders>
            <w:shd w:val="clear" w:color="auto" w:fill="auto"/>
            <w:vAlign w:val="center"/>
            <w:hideMark/>
          </w:tcPr>
          <w:p w14:paraId="1D960D4F"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0.028 </w:t>
            </w:r>
          </w:p>
        </w:tc>
        <w:tc>
          <w:tcPr>
            <w:tcW w:w="1540" w:type="dxa"/>
            <w:tcBorders>
              <w:top w:val="nil"/>
              <w:left w:val="nil"/>
              <w:bottom w:val="single" w:sz="4" w:space="0" w:color="auto"/>
              <w:right w:val="single" w:sz="4" w:space="0" w:color="auto"/>
            </w:tcBorders>
            <w:shd w:val="clear" w:color="auto" w:fill="auto"/>
            <w:noWrap/>
            <w:vAlign w:val="center"/>
            <w:hideMark/>
          </w:tcPr>
          <w:p w14:paraId="20894E31"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0.040 </w:t>
            </w:r>
          </w:p>
        </w:tc>
        <w:tc>
          <w:tcPr>
            <w:tcW w:w="1540" w:type="dxa"/>
            <w:tcBorders>
              <w:top w:val="nil"/>
              <w:left w:val="nil"/>
              <w:bottom w:val="single" w:sz="4" w:space="0" w:color="auto"/>
              <w:right w:val="single" w:sz="4" w:space="0" w:color="auto"/>
            </w:tcBorders>
            <w:shd w:val="clear" w:color="auto" w:fill="auto"/>
            <w:noWrap/>
            <w:vAlign w:val="center"/>
            <w:hideMark/>
          </w:tcPr>
          <w:p w14:paraId="4E897402"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925</w:t>
            </w:r>
          </w:p>
        </w:tc>
      </w:tr>
      <w:tr w:rsidR="0032335C" w:rsidRPr="00C63A39" w14:paraId="4670BEBD"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143FC14A" w14:textId="06244977" w:rsidR="0032335C" w:rsidRPr="00C63A39" w:rsidRDefault="0032335C" w:rsidP="0032335C">
            <w:pPr>
              <w:rPr>
                <w:color w:val="000000"/>
                <w:kern w:val="22"/>
                <w:szCs w:val="22"/>
                <w:lang w:val="fr-FR" w:eastAsia="en-CA"/>
              </w:rPr>
            </w:pPr>
            <w:r w:rsidRPr="00C63A39">
              <w:rPr>
                <w:szCs w:val="22"/>
                <w:lang w:val="fr-FR"/>
              </w:rPr>
              <w:t>Seychelles</w:t>
            </w:r>
          </w:p>
        </w:tc>
        <w:tc>
          <w:tcPr>
            <w:tcW w:w="1540" w:type="dxa"/>
            <w:tcBorders>
              <w:top w:val="nil"/>
              <w:left w:val="nil"/>
              <w:bottom w:val="single" w:sz="4" w:space="0" w:color="auto"/>
              <w:right w:val="single" w:sz="4" w:space="0" w:color="auto"/>
            </w:tcBorders>
            <w:shd w:val="clear" w:color="auto" w:fill="auto"/>
            <w:vAlign w:val="center"/>
            <w:hideMark/>
          </w:tcPr>
          <w:p w14:paraId="6CE6ECAD"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72129CE9"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4F1A7E6B"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66</w:t>
            </w:r>
          </w:p>
        </w:tc>
      </w:tr>
      <w:tr w:rsidR="003E7E11" w:rsidRPr="00C63A39" w14:paraId="58246D9C"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tcPr>
          <w:p w14:paraId="74A12980" w14:textId="176DF445" w:rsidR="003E7E11" w:rsidRPr="00C63A39" w:rsidRDefault="003E7E11" w:rsidP="003E7E11">
            <w:pPr>
              <w:rPr>
                <w:szCs w:val="22"/>
                <w:lang w:val="fr-FR"/>
              </w:rPr>
            </w:pPr>
            <w:r w:rsidRPr="00C63A39">
              <w:rPr>
                <w:szCs w:val="22"/>
                <w:lang w:val="fr-FR"/>
              </w:rPr>
              <w:t xml:space="preserve">Sierra Leone </w:t>
            </w:r>
          </w:p>
        </w:tc>
        <w:tc>
          <w:tcPr>
            <w:tcW w:w="1540" w:type="dxa"/>
            <w:tcBorders>
              <w:top w:val="nil"/>
              <w:left w:val="nil"/>
              <w:bottom w:val="single" w:sz="4" w:space="0" w:color="auto"/>
              <w:right w:val="single" w:sz="4" w:space="0" w:color="auto"/>
            </w:tcBorders>
            <w:shd w:val="clear" w:color="auto" w:fill="auto"/>
            <w:vAlign w:val="center"/>
          </w:tcPr>
          <w:p w14:paraId="65C1FE1F" w14:textId="4610E1D3" w:rsidR="003E7E11" w:rsidRPr="00C63A39" w:rsidRDefault="003E7E11" w:rsidP="003E7E11">
            <w:pPr>
              <w:jc w:val="right"/>
              <w:rPr>
                <w:color w:val="000000"/>
                <w:kern w:val="22"/>
                <w:szCs w:val="22"/>
                <w:lang w:val="fr-FR" w:eastAsia="en-CA"/>
              </w:rPr>
            </w:pPr>
            <w:r w:rsidRPr="00C63A39">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tcPr>
          <w:p w14:paraId="5E3ED762" w14:textId="10B4345F" w:rsidR="003E7E11" w:rsidRPr="00C63A39" w:rsidRDefault="003E7E11" w:rsidP="003E7E11">
            <w:pPr>
              <w:jc w:val="right"/>
              <w:rPr>
                <w:color w:val="000000"/>
                <w:kern w:val="22"/>
                <w:szCs w:val="22"/>
                <w:lang w:val="fr-FR" w:eastAsia="en-CA"/>
              </w:rPr>
            </w:pPr>
            <w:r w:rsidRPr="00C63A39">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tcPr>
          <w:p w14:paraId="2BD9A890" w14:textId="6C49D662" w:rsidR="003E7E11" w:rsidRPr="00C63A39" w:rsidRDefault="003E7E11" w:rsidP="003E7E11">
            <w:pPr>
              <w:jc w:val="right"/>
              <w:rPr>
                <w:color w:val="000000"/>
                <w:kern w:val="22"/>
                <w:szCs w:val="22"/>
                <w:lang w:val="fr-FR" w:eastAsia="en-CA"/>
              </w:rPr>
            </w:pPr>
            <w:r w:rsidRPr="00C63A39">
              <w:rPr>
                <w:color w:val="000000"/>
                <w:kern w:val="22"/>
                <w:szCs w:val="22"/>
                <w:lang w:eastAsia="en-CA"/>
              </w:rPr>
              <w:t>33</w:t>
            </w:r>
          </w:p>
        </w:tc>
      </w:tr>
      <w:tr w:rsidR="003E7E11" w:rsidRPr="00C63A39" w14:paraId="44F90DE2"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6E5239C4" w14:textId="1183E269" w:rsidR="003E7E11" w:rsidRPr="00C63A39" w:rsidRDefault="003E7E11" w:rsidP="003E7E11">
            <w:pPr>
              <w:rPr>
                <w:color w:val="000000"/>
                <w:kern w:val="22"/>
                <w:szCs w:val="22"/>
                <w:lang w:val="fr-FR" w:eastAsia="en-CA"/>
              </w:rPr>
            </w:pPr>
            <w:r w:rsidRPr="00C63A39">
              <w:rPr>
                <w:szCs w:val="22"/>
                <w:lang w:val="fr-FR"/>
              </w:rPr>
              <w:t>Slovaquie</w:t>
            </w:r>
          </w:p>
        </w:tc>
        <w:tc>
          <w:tcPr>
            <w:tcW w:w="1540" w:type="dxa"/>
            <w:tcBorders>
              <w:top w:val="nil"/>
              <w:left w:val="nil"/>
              <w:bottom w:val="single" w:sz="4" w:space="0" w:color="auto"/>
              <w:right w:val="single" w:sz="4" w:space="0" w:color="auto"/>
            </w:tcBorders>
            <w:shd w:val="clear" w:color="auto" w:fill="auto"/>
            <w:vAlign w:val="center"/>
            <w:hideMark/>
          </w:tcPr>
          <w:p w14:paraId="637EFDA0" w14:textId="40DE042B" w:rsidR="003E7E11" w:rsidRPr="00C63A39" w:rsidRDefault="003E7E11" w:rsidP="003E7E11">
            <w:pPr>
              <w:jc w:val="right"/>
              <w:rPr>
                <w:color w:val="000000"/>
                <w:kern w:val="22"/>
                <w:szCs w:val="22"/>
                <w:lang w:val="fr-FR" w:eastAsia="en-CA"/>
              </w:rPr>
            </w:pPr>
            <w:r w:rsidRPr="00C63A39">
              <w:rPr>
                <w:color w:val="000000"/>
                <w:kern w:val="22"/>
                <w:szCs w:val="22"/>
                <w:lang w:eastAsia="en-CA"/>
              </w:rPr>
              <w:t>0.153</w:t>
            </w:r>
          </w:p>
        </w:tc>
        <w:tc>
          <w:tcPr>
            <w:tcW w:w="1540" w:type="dxa"/>
            <w:tcBorders>
              <w:top w:val="nil"/>
              <w:left w:val="nil"/>
              <w:bottom w:val="single" w:sz="4" w:space="0" w:color="auto"/>
              <w:right w:val="single" w:sz="4" w:space="0" w:color="auto"/>
            </w:tcBorders>
            <w:shd w:val="clear" w:color="auto" w:fill="auto"/>
            <w:noWrap/>
            <w:vAlign w:val="center"/>
            <w:hideMark/>
          </w:tcPr>
          <w:p w14:paraId="19D4D2D9" w14:textId="23ACEAD7" w:rsidR="003E7E11" w:rsidRPr="00C63A39" w:rsidRDefault="003E7E11" w:rsidP="003E7E11">
            <w:pPr>
              <w:jc w:val="right"/>
              <w:rPr>
                <w:color w:val="000000"/>
                <w:kern w:val="22"/>
                <w:szCs w:val="22"/>
                <w:lang w:val="fr-FR" w:eastAsia="en-CA"/>
              </w:rPr>
            </w:pPr>
            <w:r w:rsidRPr="00C63A39">
              <w:rPr>
                <w:color w:val="000000"/>
                <w:kern w:val="22"/>
                <w:szCs w:val="22"/>
                <w:lang w:eastAsia="en-CA"/>
              </w:rPr>
              <w:t>0.219</w:t>
            </w:r>
          </w:p>
        </w:tc>
        <w:tc>
          <w:tcPr>
            <w:tcW w:w="1540" w:type="dxa"/>
            <w:tcBorders>
              <w:top w:val="nil"/>
              <w:left w:val="nil"/>
              <w:bottom w:val="single" w:sz="4" w:space="0" w:color="auto"/>
              <w:right w:val="single" w:sz="4" w:space="0" w:color="auto"/>
            </w:tcBorders>
            <w:shd w:val="clear" w:color="auto" w:fill="auto"/>
            <w:noWrap/>
            <w:vAlign w:val="center"/>
            <w:hideMark/>
          </w:tcPr>
          <w:p w14:paraId="14A97BA4" w14:textId="6990FFA2" w:rsidR="003E7E11" w:rsidRPr="00C63A39" w:rsidRDefault="003E7E11" w:rsidP="003E7E11">
            <w:pPr>
              <w:jc w:val="right"/>
              <w:rPr>
                <w:color w:val="000000"/>
                <w:kern w:val="22"/>
                <w:szCs w:val="22"/>
                <w:lang w:val="fr-FR" w:eastAsia="en-CA"/>
              </w:rPr>
            </w:pPr>
            <w:r w:rsidRPr="00C63A39">
              <w:rPr>
                <w:color w:val="000000"/>
                <w:kern w:val="22"/>
                <w:szCs w:val="22"/>
                <w:lang w:eastAsia="en-CA"/>
              </w:rPr>
              <w:t>5,053</w:t>
            </w:r>
          </w:p>
        </w:tc>
      </w:tr>
      <w:tr w:rsidR="003E7E11" w:rsidRPr="00C63A39" w14:paraId="47152437"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21965FA2" w14:textId="6B3C54B4" w:rsidR="003E7E11" w:rsidRPr="00C63A39" w:rsidRDefault="003E7E11" w:rsidP="003E7E11">
            <w:pPr>
              <w:rPr>
                <w:color w:val="000000"/>
                <w:kern w:val="22"/>
                <w:szCs w:val="22"/>
                <w:lang w:val="fr-FR" w:eastAsia="en-CA"/>
              </w:rPr>
            </w:pPr>
            <w:r w:rsidRPr="00C63A39">
              <w:rPr>
                <w:szCs w:val="22"/>
                <w:lang w:val="fr-FR"/>
              </w:rPr>
              <w:t>Slovénie</w:t>
            </w:r>
          </w:p>
        </w:tc>
        <w:tc>
          <w:tcPr>
            <w:tcW w:w="1540" w:type="dxa"/>
            <w:tcBorders>
              <w:top w:val="nil"/>
              <w:left w:val="nil"/>
              <w:bottom w:val="single" w:sz="4" w:space="0" w:color="auto"/>
              <w:right w:val="single" w:sz="4" w:space="0" w:color="auto"/>
            </w:tcBorders>
            <w:shd w:val="clear" w:color="auto" w:fill="auto"/>
            <w:vAlign w:val="center"/>
            <w:hideMark/>
          </w:tcPr>
          <w:p w14:paraId="20DF9D19" w14:textId="2B11C861" w:rsidR="003E7E11" w:rsidRPr="00C63A39" w:rsidRDefault="003E7E11" w:rsidP="003E7E11">
            <w:pPr>
              <w:jc w:val="right"/>
              <w:rPr>
                <w:color w:val="000000"/>
                <w:kern w:val="22"/>
                <w:szCs w:val="22"/>
                <w:lang w:val="fr-FR" w:eastAsia="en-CA"/>
              </w:rPr>
            </w:pPr>
            <w:r w:rsidRPr="00C63A39">
              <w:rPr>
                <w:color w:val="000000"/>
                <w:kern w:val="22"/>
                <w:szCs w:val="22"/>
                <w:lang w:eastAsia="en-CA"/>
              </w:rPr>
              <w:t>0.076</w:t>
            </w:r>
          </w:p>
        </w:tc>
        <w:tc>
          <w:tcPr>
            <w:tcW w:w="1540" w:type="dxa"/>
            <w:tcBorders>
              <w:top w:val="nil"/>
              <w:left w:val="nil"/>
              <w:bottom w:val="single" w:sz="4" w:space="0" w:color="auto"/>
              <w:right w:val="single" w:sz="4" w:space="0" w:color="auto"/>
            </w:tcBorders>
            <w:shd w:val="clear" w:color="auto" w:fill="auto"/>
            <w:noWrap/>
            <w:vAlign w:val="center"/>
            <w:hideMark/>
          </w:tcPr>
          <w:p w14:paraId="3D9A9A5B" w14:textId="2B843045" w:rsidR="003E7E11" w:rsidRPr="00C63A39" w:rsidRDefault="003E7E11" w:rsidP="003E7E11">
            <w:pPr>
              <w:jc w:val="right"/>
              <w:rPr>
                <w:color w:val="000000"/>
                <w:kern w:val="22"/>
                <w:szCs w:val="22"/>
                <w:lang w:val="fr-FR" w:eastAsia="en-CA"/>
              </w:rPr>
            </w:pPr>
            <w:r w:rsidRPr="00C63A39">
              <w:rPr>
                <w:color w:val="000000"/>
                <w:kern w:val="22"/>
                <w:szCs w:val="22"/>
                <w:lang w:eastAsia="en-CA"/>
              </w:rPr>
              <w:t>0.109</w:t>
            </w:r>
          </w:p>
        </w:tc>
        <w:tc>
          <w:tcPr>
            <w:tcW w:w="1540" w:type="dxa"/>
            <w:tcBorders>
              <w:top w:val="nil"/>
              <w:left w:val="nil"/>
              <w:bottom w:val="single" w:sz="4" w:space="0" w:color="auto"/>
              <w:right w:val="single" w:sz="4" w:space="0" w:color="auto"/>
            </w:tcBorders>
            <w:shd w:val="clear" w:color="auto" w:fill="auto"/>
            <w:noWrap/>
            <w:vAlign w:val="center"/>
            <w:hideMark/>
          </w:tcPr>
          <w:p w14:paraId="6F205977" w14:textId="750FC04C" w:rsidR="003E7E11" w:rsidRPr="00C63A39" w:rsidRDefault="003E7E11" w:rsidP="003E7E11">
            <w:pPr>
              <w:jc w:val="right"/>
              <w:rPr>
                <w:color w:val="000000"/>
                <w:kern w:val="22"/>
                <w:szCs w:val="22"/>
                <w:lang w:val="fr-FR" w:eastAsia="en-CA"/>
              </w:rPr>
            </w:pPr>
            <w:r w:rsidRPr="00C63A39">
              <w:rPr>
                <w:color w:val="000000"/>
                <w:kern w:val="22"/>
                <w:szCs w:val="22"/>
                <w:lang w:eastAsia="en-CA"/>
              </w:rPr>
              <w:t>2,510</w:t>
            </w:r>
          </w:p>
        </w:tc>
      </w:tr>
    </w:tbl>
    <w:p w14:paraId="2CCA73F2" w14:textId="44681088" w:rsidR="001F110D" w:rsidRPr="00C63A39" w:rsidRDefault="001F110D" w:rsidP="0079737F">
      <w:pPr>
        <w:spacing w:after="160" w:line="259" w:lineRule="auto"/>
        <w:rPr>
          <w:rFonts w:eastAsiaTheme="minorEastAsia"/>
          <w:bCs/>
          <w:kern w:val="22"/>
          <w:szCs w:val="22"/>
          <w:lang w:val="fr-FR"/>
        </w:rPr>
      </w:pPr>
    </w:p>
    <w:p w14:paraId="674F1057" w14:textId="77777777" w:rsidR="001F110D" w:rsidRPr="00C63A39" w:rsidRDefault="001F110D">
      <w:pPr>
        <w:spacing w:after="160" w:line="259" w:lineRule="auto"/>
        <w:rPr>
          <w:rFonts w:eastAsiaTheme="minorEastAsia"/>
          <w:bCs/>
          <w:kern w:val="22"/>
          <w:szCs w:val="22"/>
          <w:lang w:val="fr-FR"/>
        </w:rPr>
      </w:pPr>
      <w:r w:rsidRPr="00C63A39">
        <w:rPr>
          <w:rFonts w:eastAsiaTheme="minorEastAsia"/>
          <w:bCs/>
          <w:kern w:val="22"/>
          <w:szCs w:val="22"/>
          <w:lang w:val="fr-FR"/>
        </w:rPr>
        <w:br w:type="page"/>
      </w:r>
    </w:p>
    <w:tbl>
      <w:tblPr>
        <w:tblW w:w="9420" w:type="dxa"/>
        <w:tblLook w:val="04A0" w:firstRow="1" w:lastRow="0" w:firstColumn="1" w:lastColumn="0" w:noHBand="0" w:noVBand="1"/>
      </w:tblPr>
      <w:tblGrid>
        <w:gridCol w:w="4800"/>
        <w:gridCol w:w="1540"/>
        <w:gridCol w:w="1540"/>
        <w:gridCol w:w="1540"/>
      </w:tblGrid>
      <w:tr w:rsidR="005F7E95" w:rsidRPr="00C63A39" w14:paraId="3C1807EC" w14:textId="77777777" w:rsidTr="001F110D">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48ED67" w14:textId="34ABE0F8" w:rsidR="005F7E95" w:rsidRPr="00C63A39" w:rsidRDefault="005F7E95" w:rsidP="005F7E95">
            <w:pPr>
              <w:jc w:val="center"/>
              <w:rPr>
                <w:b/>
                <w:bCs/>
                <w:kern w:val="22"/>
                <w:szCs w:val="22"/>
                <w:lang w:val="fr-FR" w:eastAsia="en-CA"/>
              </w:rPr>
            </w:pPr>
            <w:r w:rsidRPr="00C63A39">
              <w:rPr>
                <w:b/>
                <w:bCs/>
                <w:kern w:val="22"/>
                <w:szCs w:val="22"/>
                <w:lang w:val="fr-FR" w:eastAsia="en-CA"/>
              </w:rPr>
              <w:lastRenderedPageBreak/>
              <w:t>Partie</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26C850E0" w14:textId="496B2AA0" w:rsidR="005F7E95" w:rsidRPr="00C63A39" w:rsidRDefault="005F7E95" w:rsidP="005F7E95">
            <w:pPr>
              <w:jc w:val="center"/>
              <w:rPr>
                <w:b/>
                <w:bCs/>
                <w:color w:val="000000"/>
                <w:kern w:val="22"/>
                <w:szCs w:val="22"/>
                <w:lang w:val="fr-FR" w:eastAsia="en-CA"/>
              </w:rPr>
            </w:pPr>
            <w:r w:rsidRPr="00C63A39">
              <w:rPr>
                <w:b/>
                <w:bCs/>
                <w:color w:val="000000"/>
                <w:kern w:val="22"/>
                <w:szCs w:val="22"/>
                <w:lang w:val="fr-FR" w:eastAsia="en-CA"/>
              </w:rPr>
              <w:t xml:space="preserve">Barème des quotes-parts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6DD36DA6" w14:textId="05F0EE97" w:rsidR="005F7E95" w:rsidRPr="00C63A39" w:rsidRDefault="005F7E95" w:rsidP="005F7E95">
            <w:pPr>
              <w:jc w:val="center"/>
              <w:rPr>
                <w:b/>
                <w:bCs/>
                <w:color w:val="000000"/>
                <w:kern w:val="22"/>
                <w:szCs w:val="22"/>
                <w:lang w:val="fr-FR" w:eastAsia="en-CA"/>
              </w:rPr>
            </w:pPr>
            <w:r w:rsidRPr="00C63A39">
              <w:rPr>
                <w:b/>
                <w:bCs/>
                <w:color w:val="000000"/>
                <w:kern w:val="22"/>
                <w:szCs w:val="22"/>
                <w:lang w:val="fr-FR" w:eastAsia="en-CA"/>
              </w:rPr>
              <w:t>Barème assorti d’un plafond de 22% ; aucun PMA ne paie plus de 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6322760F" w14:textId="70C343ED" w:rsidR="005F7E95" w:rsidRPr="00C63A39" w:rsidRDefault="005F7E95" w:rsidP="005F7E95">
            <w:pPr>
              <w:jc w:val="center"/>
              <w:rPr>
                <w:b/>
                <w:bCs/>
                <w:color w:val="000000"/>
                <w:kern w:val="22"/>
                <w:szCs w:val="22"/>
                <w:lang w:val="fr-FR" w:eastAsia="en-CA"/>
              </w:rPr>
            </w:pPr>
            <w:r w:rsidRPr="00C63A39">
              <w:rPr>
                <w:b/>
                <w:bCs/>
                <w:color w:val="000000"/>
                <w:kern w:val="22"/>
                <w:szCs w:val="22"/>
                <w:lang w:val="fr-FR" w:eastAsia="en-CA"/>
              </w:rPr>
              <w:t>Contributions au 1er janvier 2020</w:t>
            </w:r>
          </w:p>
        </w:tc>
      </w:tr>
      <w:tr w:rsidR="0032335C" w:rsidRPr="00C63A39" w14:paraId="41D80DF5"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00F4C6D9" w14:textId="648CA3C3" w:rsidR="0032335C" w:rsidRPr="00C63A39" w:rsidRDefault="0032335C" w:rsidP="0032335C">
            <w:pPr>
              <w:rPr>
                <w:color w:val="000000"/>
                <w:kern w:val="22"/>
                <w:szCs w:val="22"/>
                <w:lang w:val="fr-FR" w:eastAsia="en-CA"/>
              </w:rPr>
            </w:pPr>
            <w:r w:rsidRPr="00C63A39">
              <w:rPr>
                <w:szCs w:val="22"/>
                <w:lang w:val="fr-FR"/>
              </w:rPr>
              <w:t>Îles Salomon</w:t>
            </w:r>
          </w:p>
        </w:tc>
        <w:tc>
          <w:tcPr>
            <w:tcW w:w="1540" w:type="dxa"/>
            <w:tcBorders>
              <w:top w:val="nil"/>
              <w:left w:val="nil"/>
              <w:bottom w:val="single" w:sz="4" w:space="0" w:color="auto"/>
              <w:right w:val="single" w:sz="4" w:space="0" w:color="auto"/>
            </w:tcBorders>
            <w:shd w:val="clear" w:color="auto" w:fill="auto"/>
            <w:vAlign w:val="center"/>
            <w:hideMark/>
          </w:tcPr>
          <w:p w14:paraId="497D2BB4"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62026D0F"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121EC77F"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33</w:t>
            </w:r>
          </w:p>
        </w:tc>
      </w:tr>
      <w:tr w:rsidR="0032335C" w:rsidRPr="00C63A39" w14:paraId="0A10FD43"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189C3A09" w14:textId="20FA4F0B" w:rsidR="0032335C" w:rsidRPr="00C63A39" w:rsidRDefault="0032335C" w:rsidP="0032335C">
            <w:pPr>
              <w:rPr>
                <w:color w:val="000000"/>
                <w:kern w:val="22"/>
                <w:szCs w:val="22"/>
                <w:lang w:val="fr-FR" w:eastAsia="en-CA"/>
              </w:rPr>
            </w:pPr>
            <w:r w:rsidRPr="00C63A39">
              <w:rPr>
                <w:szCs w:val="22"/>
                <w:lang w:val="fr-FR"/>
              </w:rPr>
              <w:t>Somalie</w:t>
            </w:r>
          </w:p>
        </w:tc>
        <w:tc>
          <w:tcPr>
            <w:tcW w:w="1540" w:type="dxa"/>
            <w:tcBorders>
              <w:top w:val="nil"/>
              <w:left w:val="nil"/>
              <w:bottom w:val="single" w:sz="4" w:space="0" w:color="auto"/>
              <w:right w:val="single" w:sz="4" w:space="0" w:color="auto"/>
            </w:tcBorders>
            <w:shd w:val="clear" w:color="auto" w:fill="auto"/>
            <w:vAlign w:val="center"/>
            <w:hideMark/>
          </w:tcPr>
          <w:p w14:paraId="3C6B306E"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772DB889"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300D5209"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33</w:t>
            </w:r>
          </w:p>
        </w:tc>
      </w:tr>
      <w:tr w:rsidR="0032335C" w:rsidRPr="00C63A39" w14:paraId="5ECB5DBD"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48D0AC96" w14:textId="330A3F43" w:rsidR="0032335C" w:rsidRPr="00C63A39" w:rsidRDefault="0032335C" w:rsidP="0032335C">
            <w:pPr>
              <w:rPr>
                <w:color w:val="000000"/>
                <w:kern w:val="22"/>
                <w:szCs w:val="22"/>
                <w:lang w:val="fr-FR" w:eastAsia="en-CA"/>
              </w:rPr>
            </w:pPr>
            <w:r w:rsidRPr="00C63A39">
              <w:rPr>
                <w:szCs w:val="22"/>
                <w:lang w:val="fr-FR"/>
              </w:rPr>
              <w:t>Afrique du Sud</w:t>
            </w:r>
          </w:p>
        </w:tc>
        <w:tc>
          <w:tcPr>
            <w:tcW w:w="1540" w:type="dxa"/>
            <w:tcBorders>
              <w:top w:val="nil"/>
              <w:left w:val="nil"/>
              <w:bottom w:val="single" w:sz="4" w:space="0" w:color="auto"/>
              <w:right w:val="single" w:sz="4" w:space="0" w:color="auto"/>
            </w:tcBorders>
            <w:shd w:val="clear" w:color="auto" w:fill="auto"/>
            <w:vAlign w:val="center"/>
            <w:hideMark/>
          </w:tcPr>
          <w:p w14:paraId="0879C7A5"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0.272 </w:t>
            </w:r>
          </w:p>
        </w:tc>
        <w:tc>
          <w:tcPr>
            <w:tcW w:w="1540" w:type="dxa"/>
            <w:tcBorders>
              <w:top w:val="nil"/>
              <w:left w:val="nil"/>
              <w:bottom w:val="single" w:sz="4" w:space="0" w:color="auto"/>
              <w:right w:val="single" w:sz="4" w:space="0" w:color="auto"/>
            </w:tcBorders>
            <w:shd w:val="clear" w:color="auto" w:fill="auto"/>
            <w:noWrap/>
            <w:vAlign w:val="center"/>
            <w:hideMark/>
          </w:tcPr>
          <w:p w14:paraId="42ECAD8D"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0.389 </w:t>
            </w:r>
          </w:p>
        </w:tc>
        <w:tc>
          <w:tcPr>
            <w:tcW w:w="1540" w:type="dxa"/>
            <w:tcBorders>
              <w:top w:val="nil"/>
              <w:left w:val="nil"/>
              <w:bottom w:val="single" w:sz="4" w:space="0" w:color="auto"/>
              <w:right w:val="single" w:sz="4" w:space="0" w:color="auto"/>
            </w:tcBorders>
            <w:shd w:val="clear" w:color="auto" w:fill="auto"/>
            <w:noWrap/>
            <w:vAlign w:val="center"/>
            <w:hideMark/>
          </w:tcPr>
          <w:p w14:paraId="0CCAE54C"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8,983</w:t>
            </w:r>
          </w:p>
        </w:tc>
      </w:tr>
      <w:tr w:rsidR="0032335C" w:rsidRPr="00C63A39" w14:paraId="38E36155"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3AD8004A" w14:textId="7AA8D9F4" w:rsidR="0032335C" w:rsidRPr="00C63A39" w:rsidRDefault="0032335C" w:rsidP="0032335C">
            <w:pPr>
              <w:rPr>
                <w:color w:val="000000"/>
                <w:kern w:val="22"/>
                <w:szCs w:val="22"/>
                <w:lang w:val="fr-FR" w:eastAsia="en-CA"/>
              </w:rPr>
            </w:pPr>
            <w:r w:rsidRPr="00C63A39">
              <w:rPr>
                <w:szCs w:val="22"/>
                <w:lang w:val="fr-FR"/>
              </w:rPr>
              <w:t>Espagne</w:t>
            </w:r>
          </w:p>
        </w:tc>
        <w:tc>
          <w:tcPr>
            <w:tcW w:w="1540" w:type="dxa"/>
            <w:tcBorders>
              <w:top w:val="nil"/>
              <w:left w:val="nil"/>
              <w:bottom w:val="single" w:sz="4" w:space="0" w:color="auto"/>
              <w:right w:val="single" w:sz="4" w:space="0" w:color="auto"/>
            </w:tcBorders>
            <w:shd w:val="clear" w:color="auto" w:fill="auto"/>
            <w:vAlign w:val="center"/>
            <w:hideMark/>
          </w:tcPr>
          <w:p w14:paraId="0B8FEE8D"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2.146 </w:t>
            </w:r>
          </w:p>
        </w:tc>
        <w:tc>
          <w:tcPr>
            <w:tcW w:w="1540" w:type="dxa"/>
            <w:tcBorders>
              <w:top w:val="nil"/>
              <w:left w:val="nil"/>
              <w:bottom w:val="single" w:sz="4" w:space="0" w:color="auto"/>
              <w:right w:val="single" w:sz="4" w:space="0" w:color="auto"/>
            </w:tcBorders>
            <w:shd w:val="clear" w:color="auto" w:fill="auto"/>
            <w:noWrap/>
            <w:vAlign w:val="center"/>
            <w:hideMark/>
          </w:tcPr>
          <w:p w14:paraId="2BBF5EA2"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3.066 </w:t>
            </w:r>
          </w:p>
        </w:tc>
        <w:tc>
          <w:tcPr>
            <w:tcW w:w="1540" w:type="dxa"/>
            <w:tcBorders>
              <w:top w:val="nil"/>
              <w:left w:val="nil"/>
              <w:bottom w:val="single" w:sz="4" w:space="0" w:color="auto"/>
              <w:right w:val="single" w:sz="4" w:space="0" w:color="auto"/>
            </w:tcBorders>
            <w:shd w:val="clear" w:color="auto" w:fill="auto"/>
            <w:noWrap/>
            <w:vAlign w:val="center"/>
            <w:hideMark/>
          </w:tcPr>
          <w:p w14:paraId="679E244C"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70,870</w:t>
            </w:r>
          </w:p>
        </w:tc>
      </w:tr>
      <w:tr w:rsidR="0032335C" w:rsidRPr="00C63A39" w14:paraId="7B7838A2"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0619DF09" w14:textId="31E0890D" w:rsidR="0032335C" w:rsidRPr="00C63A39" w:rsidRDefault="0032335C" w:rsidP="0032335C">
            <w:pPr>
              <w:rPr>
                <w:color w:val="000000"/>
                <w:kern w:val="22"/>
                <w:szCs w:val="22"/>
                <w:lang w:val="fr-FR" w:eastAsia="en-CA"/>
              </w:rPr>
            </w:pPr>
            <w:r w:rsidRPr="00C63A39">
              <w:rPr>
                <w:szCs w:val="22"/>
                <w:lang w:val="fr-FR"/>
              </w:rPr>
              <w:t>Sri Lanka</w:t>
            </w:r>
          </w:p>
        </w:tc>
        <w:tc>
          <w:tcPr>
            <w:tcW w:w="1540" w:type="dxa"/>
            <w:tcBorders>
              <w:top w:val="nil"/>
              <w:left w:val="nil"/>
              <w:bottom w:val="single" w:sz="4" w:space="0" w:color="auto"/>
              <w:right w:val="single" w:sz="4" w:space="0" w:color="auto"/>
            </w:tcBorders>
            <w:shd w:val="clear" w:color="auto" w:fill="auto"/>
            <w:vAlign w:val="center"/>
            <w:hideMark/>
          </w:tcPr>
          <w:p w14:paraId="298E17FD"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0.044 </w:t>
            </w:r>
          </w:p>
        </w:tc>
        <w:tc>
          <w:tcPr>
            <w:tcW w:w="1540" w:type="dxa"/>
            <w:tcBorders>
              <w:top w:val="nil"/>
              <w:left w:val="nil"/>
              <w:bottom w:val="single" w:sz="4" w:space="0" w:color="auto"/>
              <w:right w:val="single" w:sz="4" w:space="0" w:color="auto"/>
            </w:tcBorders>
            <w:shd w:val="clear" w:color="auto" w:fill="auto"/>
            <w:noWrap/>
            <w:vAlign w:val="center"/>
            <w:hideMark/>
          </w:tcPr>
          <w:p w14:paraId="4B3B15D5"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0.063 </w:t>
            </w:r>
          </w:p>
        </w:tc>
        <w:tc>
          <w:tcPr>
            <w:tcW w:w="1540" w:type="dxa"/>
            <w:tcBorders>
              <w:top w:val="nil"/>
              <w:left w:val="nil"/>
              <w:bottom w:val="single" w:sz="4" w:space="0" w:color="auto"/>
              <w:right w:val="single" w:sz="4" w:space="0" w:color="auto"/>
            </w:tcBorders>
            <w:shd w:val="clear" w:color="auto" w:fill="auto"/>
            <w:noWrap/>
            <w:vAlign w:val="center"/>
            <w:hideMark/>
          </w:tcPr>
          <w:p w14:paraId="34C16CD0"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1,453</w:t>
            </w:r>
          </w:p>
        </w:tc>
      </w:tr>
      <w:tr w:rsidR="0032335C" w:rsidRPr="00C63A39" w14:paraId="0349E197"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4E218D38" w14:textId="42F3E442" w:rsidR="0032335C" w:rsidRPr="00C63A39" w:rsidRDefault="0032335C" w:rsidP="0032335C">
            <w:pPr>
              <w:rPr>
                <w:color w:val="000000"/>
                <w:kern w:val="22"/>
                <w:szCs w:val="22"/>
                <w:lang w:val="fr-FR" w:eastAsia="en-CA"/>
              </w:rPr>
            </w:pPr>
            <w:r w:rsidRPr="00C63A39">
              <w:rPr>
                <w:szCs w:val="22"/>
                <w:lang w:val="fr-FR"/>
              </w:rPr>
              <w:t>État de Palestine</w:t>
            </w:r>
          </w:p>
        </w:tc>
        <w:tc>
          <w:tcPr>
            <w:tcW w:w="1540" w:type="dxa"/>
            <w:tcBorders>
              <w:top w:val="nil"/>
              <w:left w:val="nil"/>
              <w:bottom w:val="single" w:sz="4" w:space="0" w:color="auto"/>
              <w:right w:val="single" w:sz="4" w:space="0" w:color="auto"/>
            </w:tcBorders>
            <w:shd w:val="clear" w:color="auto" w:fill="auto"/>
            <w:vAlign w:val="center"/>
            <w:hideMark/>
          </w:tcPr>
          <w:p w14:paraId="78338C9C"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0.008 </w:t>
            </w:r>
          </w:p>
        </w:tc>
        <w:tc>
          <w:tcPr>
            <w:tcW w:w="1540" w:type="dxa"/>
            <w:tcBorders>
              <w:top w:val="nil"/>
              <w:left w:val="nil"/>
              <w:bottom w:val="single" w:sz="4" w:space="0" w:color="auto"/>
              <w:right w:val="single" w:sz="4" w:space="0" w:color="auto"/>
            </w:tcBorders>
            <w:shd w:val="clear" w:color="auto" w:fill="auto"/>
            <w:noWrap/>
            <w:vAlign w:val="center"/>
            <w:hideMark/>
          </w:tcPr>
          <w:p w14:paraId="6CA632C2"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0.011 </w:t>
            </w:r>
          </w:p>
        </w:tc>
        <w:tc>
          <w:tcPr>
            <w:tcW w:w="1540" w:type="dxa"/>
            <w:tcBorders>
              <w:top w:val="nil"/>
              <w:left w:val="nil"/>
              <w:bottom w:val="single" w:sz="4" w:space="0" w:color="auto"/>
              <w:right w:val="single" w:sz="4" w:space="0" w:color="auto"/>
            </w:tcBorders>
            <w:shd w:val="clear" w:color="auto" w:fill="auto"/>
            <w:noWrap/>
            <w:vAlign w:val="center"/>
            <w:hideMark/>
          </w:tcPr>
          <w:p w14:paraId="3EF62082"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264</w:t>
            </w:r>
          </w:p>
        </w:tc>
      </w:tr>
      <w:tr w:rsidR="0032335C" w:rsidRPr="00C63A39" w14:paraId="51EF5A80"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44600079" w14:textId="0ED33629" w:rsidR="0032335C" w:rsidRPr="00C63A39" w:rsidRDefault="0032335C" w:rsidP="0032335C">
            <w:pPr>
              <w:rPr>
                <w:color w:val="000000"/>
                <w:kern w:val="22"/>
                <w:szCs w:val="22"/>
                <w:lang w:val="fr-FR" w:eastAsia="en-CA"/>
              </w:rPr>
            </w:pPr>
            <w:r w:rsidRPr="00C63A39">
              <w:rPr>
                <w:szCs w:val="22"/>
                <w:lang w:val="fr-FR"/>
              </w:rPr>
              <w:t>Soudan</w:t>
            </w:r>
          </w:p>
        </w:tc>
        <w:tc>
          <w:tcPr>
            <w:tcW w:w="1540" w:type="dxa"/>
            <w:tcBorders>
              <w:top w:val="nil"/>
              <w:left w:val="nil"/>
              <w:bottom w:val="single" w:sz="4" w:space="0" w:color="auto"/>
              <w:right w:val="single" w:sz="4" w:space="0" w:color="auto"/>
            </w:tcBorders>
            <w:shd w:val="clear" w:color="auto" w:fill="auto"/>
            <w:vAlign w:val="center"/>
            <w:hideMark/>
          </w:tcPr>
          <w:p w14:paraId="31FEF8A7"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1D95EF38"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1C06F4F0"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231</w:t>
            </w:r>
          </w:p>
        </w:tc>
      </w:tr>
      <w:tr w:rsidR="0032335C" w:rsidRPr="00C63A39" w14:paraId="4655EB9B"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666FCCFF" w14:textId="1D34E3F7" w:rsidR="0032335C" w:rsidRPr="00C63A39" w:rsidRDefault="0032335C" w:rsidP="0032335C">
            <w:pPr>
              <w:rPr>
                <w:color w:val="000000"/>
                <w:kern w:val="22"/>
                <w:szCs w:val="22"/>
                <w:lang w:val="fr-FR" w:eastAsia="en-CA"/>
              </w:rPr>
            </w:pPr>
            <w:r w:rsidRPr="00C63A39">
              <w:rPr>
                <w:szCs w:val="22"/>
                <w:lang w:val="fr-FR"/>
              </w:rPr>
              <w:t>Suriname</w:t>
            </w:r>
          </w:p>
        </w:tc>
        <w:tc>
          <w:tcPr>
            <w:tcW w:w="1540" w:type="dxa"/>
            <w:tcBorders>
              <w:top w:val="nil"/>
              <w:left w:val="nil"/>
              <w:bottom w:val="single" w:sz="4" w:space="0" w:color="auto"/>
              <w:right w:val="single" w:sz="4" w:space="0" w:color="auto"/>
            </w:tcBorders>
            <w:shd w:val="clear" w:color="auto" w:fill="auto"/>
            <w:vAlign w:val="center"/>
            <w:hideMark/>
          </w:tcPr>
          <w:p w14:paraId="6A182D13"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14:paraId="3C8614F5"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14:paraId="7EDED9C9"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165</w:t>
            </w:r>
          </w:p>
        </w:tc>
      </w:tr>
      <w:tr w:rsidR="0032335C" w:rsidRPr="00C63A39" w14:paraId="0C16DB89"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693C6F40" w14:textId="37C13284" w:rsidR="0032335C" w:rsidRPr="00C63A39" w:rsidRDefault="0032335C" w:rsidP="0032335C">
            <w:pPr>
              <w:rPr>
                <w:color w:val="000000"/>
                <w:kern w:val="22"/>
                <w:szCs w:val="22"/>
                <w:lang w:val="fr-FR" w:eastAsia="en-CA"/>
              </w:rPr>
            </w:pPr>
            <w:r w:rsidRPr="00C63A39">
              <w:rPr>
                <w:szCs w:val="22"/>
                <w:lang w:val="fr-FR"/>
              </w:rPr>
              <w:t>Suède</w:t>
            </w:r>
          </w:p>
        </w:tc>
        <w:tc>
          <w:tcPr>
            <w:tcW w:w="1540" w:type="dxa"/>
            <w:tcBorders>
              <w:top w:val="nil"/>
              <w:left w:val="nil"/>
              <w:bottom w:val="single" w:sz="4" w:space="0" w:color="auto"/>
              <w:right w:val="single" w:sz="4" w:space="0" w:color="auto"/>
            </w:tcBorders>
            <w:shd w:val="clear" w:color="auto" w:fill="auto"/>
            <w:vAlign w:val="center"/>
            <w:hideMark/>
          </w:tcPr>
          <w:p w14:paraId="4E84D133"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0.906 </w:t>
            </w:r>
          </w:p>
        </w:tc>
        <w:tc>
          <w:tcPr>
            <w:tcW w:w="1540" w:type="dxa"/>
            <w:tcBorders>
              <w:top w:val="nil"/>
              <w:left w:val="nil"/>
              <w:bottom w:val="single" w:sz="4" w:space="0" w:color="auto"/>
              <w:right w:val="single" w:sz="4" w:space="0" w:color="auto"/>
            </w:tcBorders>
            <w:shd w:val="clear" w:color="auto" w:fill="auto"/>
            <w:noWrap/>
            <w:vAlign w:val="center"/>
            <w:hideMark/>
          </w:tcPr>
          <w:p w14:paraId="585A8165"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1.295 </w:t>
            </w:r>
          </w:p>
        </w:tc>
        <w:tc>
          <w:tcPr>
            <w:tcW w:w="1540" w:type="dxa"/>
            <w:tcBorders>
              <w:top w:val="nil"/>
              <w:left w:val="nil"/>
              <w:bottom w:val="single" w:sz="4" w:space="0" w:color="auto"/>
              <w:right w:val="single" w:sz="4" w:space="0" w:color="auto"/>
            </w:tcBorders>
            <w:shd w:val="clear" w:color="auto" w:fill="auto"/>
            <w:noWrap/>
            <w:vAlign w:val="center"/>
            <w:hideMark/>
          </w:tcPr>
          <w:p w14:paraId="2322E0CD"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29,920</w:t>
            </w:r>
          </w:p>
        </w:tc>
      </w:tr>
      <w:tr w:rsidR="0032335C" w:rsidRPr="00C63A39" w14:paraId="717D9582"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63F0E00C" w14:textId="050196DC" w:rsidR="0032335C" w:rsidRPr="00C63A39" w:rsidRDefault="0032335C" w:rsidP="0032335C">
            <w:pPr>
              <w:rPr>
                <w:color w:val="000000"/>
                <w:kern w:val="22"/>
                <w:szCs w:val="22"/>
                <w:lang w:val="fr-FR" w:eastAsia="en-CA"/>
              </w:rPr>
            </w:pPr>
            <w:r w:rsidRPr="00C63A39">
              <w:rPr>
                <w:szCs w:val="22"/>
                <w:lang w:val="fr-FR"/>
              </w:rPr>
              <w:t xml:space="preserve">Suisse </w:t>
            </w:r>
          </w:p>
        </w:tc>
        <w:tc>
          <w:tcPr>
            <w:tcW w:w="1540" w:type="dxa"/>
            <w:tcBorders>
              <w:top w:val="nil"/>
              <w:left w:val="nil"/>
              <w:bottom w:val="single" w:sz="4" w:space="0" w:color="auto"/>
              <w:right w:val="single" w:sz="4" w:space="0" w:color="auto"/>
            </w:tcBorders>
            <w:shd w:val="clear" w:color="auto" w:fill="auto"/>
            <w:vAlign w:val="center"/>
            <w:hideMark/>
          </w:tcPr>
          <w:p w14:paraId="2AD01EED"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1.151 </w:t>
            </w:r>
          </w:p>
        </w:tc>
        <w:tc>
          <w:tcPr>
            <w:tcW w:w="1540" w:type="dxa"/>
            <w:tcBorders>
              <w:top w:val="nil"/>
              <w:left w:val="nil"/>
              <w:bottom w:val="single" w:sz="4" w:space="0" w:color="auto"/>
              <w:right w:val="single" w:sz="4" w:space="0" w:color="auto"/>
            </w:tcBorders>
            <w:shd w:val="clear" w:color="auto" w:fill="auto"/>
            <w:noWrap/>
            <w:vAlign w:val="center"/>
            <w:hideMark/>
          </w:tcPr>
          <w:p w14:paraId="0D3F3986"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1.645 </w:t>
            </w:r>
          </w:p>
        </w:tc>
        <w:tc>
          <w:tcPr>
            <w:tcW w:w="1540" w:type="dxa"/>
            <w:tcBorders>
              <w:top w:val="nil"/>
              <w:left w:val="nil"/>
              <w:bottom w:val="single" w:sz="4" w:space="0" w:color="auto"/>
              <w:right w:val="single" w:sz="4" w:space="0" w:color="auto"/>
            </w:tcBorders>
            <w:shd w:val="clear" w:color="auto" w:fill="auto"/>
            <w:noWrap/>
            <w:vAlign w:val="center"/>
            <w:hideMark/>
          </w:tcPr>
          <w:p w14:paraId="4D8E91D6"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38,011</w:t>
            </w:r>
          </w:p>
        </w:tc>
      </w:tr>
      <w:tr w:rsidR="0032335C" w:rsidRPr="00C63A39" w14:paraId="0E27A5E1"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79DD831A" w14:textId="48314749" w:rsidR="0032335C" w:rsidRPr="00C63A39" w:rsidRDefault="0032335C" w:rsidP="0032335C">
            <w:pPr>
              <w:rPr>
                <w:color w:val="000000"/>
                <w:kern w:val="22"/>
                <w:szCs w:val="22"/>
                <w:lang w:val="fr-FR" w:eastAsia="en-CA"/>
              </w:rPr>
            </w:pPr>
            <w:r w:rsidRPr="00C63A39">
              <w:rPr>
                <w:szCs w:val="22"/>
                <w:lang w:val="fr-FR"/>
              </w:rPr>
              <w:t>République arabe syrienne</w:t>
            </w:r>
          </w:p>
        </w:tc>
        <w:tc>
          <w:tcPr>
            <w:tcW w:w="1540" w:type="dxa"/>
            <w:tcBorders>
              <w:top w:val="nil"/>
              <w:left w:val="nil"/>
              <w:bottom w:val="single" w:sz="4" w:space="0" w:color="auto"/>
              <w:right w:val="single" w:sz="4" w:space="0" w:color="auto"/>
            </w:tcBorders>
            <w:shd w:val="clear" w:color="auto" w:fill="auto"/>
            <w:vAlign w:val="center"/>
            <w:hideMark/>
          </w:tcPr>
          <w:p w14:paraId="41FB656C"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0.011 </w:t>
            </w:r>
          </w:p>
        </w:tc>
        <w:tc>
          <w:tcPr>
            <w:tcW w:w="1540" w:type="dxa"/>
            <w:tcBorders>
              <w:top w:val="nil"/>
              <w:left w:val="nil"/>
              <w:bottom w:val="single" w:sz="4" w:space="0" w:color="auto"/>
              <w:right w:val="single" w:sz="4" w:space="0" w:color="auto"/>
            </w:tcBorders>
            <w:shd w:val="clear" w:color="auto" w:fill="auto"/>
            <w:noWrap/>
            <w:vAlign w:val="center"/>
            <w:hideMark/>
          </w:tcPr>
          <w:p w14:paraId="646EA624"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0.016 </w:t>
            </w:r>
          </w:p>
        </w:tc>
        <w:tc>
          <w:tcPr>
            <w:tcW w:w="1540" w:type="dxa"/>
            <w:tcBorders>
              <w:top w:val="nil"/>
              <w:left w:val="nil"/>
              <w:bottom w:val="single" w:sz="4" w:space="0" w:color="auto"/>
              <w:right w:val="single" w:sz="4" w:space="0" w:color="auto"/>
            </w:tcBorders>
            <w:shd w:val="clear" w:color="auto" w:fill="auto"/>
            <w:noWrap/>
            <w:vAlign w:val="center"/>
            <w:hideMark/>
          </w:tcPr>
          <w:p w14:paraId="03E89EFB"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363</w:t>
            </w:r>
          </w:p>
        </w:tc>
      </w:tr>
      <w:tr w:rsidR="0032335C" w:rsidRPr="00C63A39" w14:paraId="58A7A06B"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2213600A" w14:textId="0207F0EB" w:rsidR="0032335C" w:rsidRPr="00C63A39" w:rsidRDefault="0032335C" w:rsidP="0032335C">
            <w:pPr>
              <w:rPr>
                <w:color w:val="000000"/>
                <w:kern w:val="22"/>
                <w:szCs w:val="22"/>
                <w:lang w:val="fr-FR" w:eastAsia="en-CA"/>
              </w:rPr>
            </w:pPr>
            <w:r w:rsidRPr="00C63A39">
              <w:rPr>
                <w:szCs w:val="22"/>
                <w:lang w:val="fr-FR"/>
              </w:rPr>
              <w:t>Tadjikistan</w:t>
            </w:r>
          </w:p>
        </w:tc>
        <w:tc>
          <w:tcPr>
            <w:tcW w:w="1540" w:type="dxa"/>
            <w:tcBorders>
              <w:top w:val="nil"/>
              <w:left w:val="nil"/>
              <w:bottom w:val="single" w:sz="4" w:space="0" w:color="auto"/>
              <w:right w:val="single" w:sz="4" w:space="0" w:color="auto"/>
            </w:tcBorders>
            <w:shd w:val="clear" w:color="auto" w:fill="auto"/>
            <w:vAlign w:val="center"/>
            <w:hideMark/>
          </w:tcPr>
          <w:p w14:paraId="5C58150E"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3A2CA77B"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14:paraId="5E21FB04"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132</w:t>
            </w:r>
          </w:p>
        </w:tc>
      </w:tr>
      <w:tr w:rsidR="0032335C" w:rsidRPr="00C63A39" w14:paraId="53BC9FB9"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31C20C27" w14:textId="1E5D95C2" w:rsidR="0032335C" w:rsidRPr="00C63A39" w:rsidRDefault="0032335C" w:rsidP="0032335C">
            <w:pPr>
              <w:rPr>
                <w:color w:val="000000"/>
                <w:kern w:val="22"/>
                <w:szCs w:val="22"/>
                <w:lang w:val="fr-FR" w:eastAsia="en-CA"/>
              </w:rPr>
            </w:pPr>
            <w:r w:rsidRPr="00C63A39">
              <w:rPr>
                <w:szCs w:val="22"/>
                <w:lang w:val="fr-FR"/>
              </w:rPr>
              <w:t>Thaïlande</w:t>
            </w:r>
          </w:p>
        </w:tc>
        <w:tc>
          <w:tcPr>
            <w:tcW w:w="1540" w:type="dxa"/>
            <w:tcBorders>
              <w:top w:val="nil"/>
              <w:left w:val="nil"/>
              <w:bottom w:val="single" w:sz="4" w:space="0" w:color="auto"/>
              <w:right w:val="single" w:sz="4" w:space="0" w:color="auto"/>
            </w:tcBorders>
            <w:shd w:val="clear" w:color="auto" w:fill="auto"/>
            <w:vAlign w:val="center"/>
            <w:hideMark/>
          </w:tcPr>
          <w:p w14:paraId="7C59017E"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0.307 </w:t>
            </w:r>
          </w:p>
        </w:tc>
        <w:tc>
          <w:tcPr>
            <w:tcW w:w="1540" w:type="dxa"/>
            <w:tcBorders>
              <w:top w:val="nil"/>
              <w:left w:val="nil"/>
              <w:bottom w:val="single" w:sz="4" w:space="0" w:color="auto"/>
              <w:right w:val="single" w:sz="4" w:space="0" w:color="auto"/>
            </w:tcBorders>
            <w:shd w:val="clear" w:color="auto" w:fill="auto"/>
            <w:noWrap/>
            <w:vAlign w:val="center"/>
            <w:hideMark/>
          </w:tcPr>
          <w:p w14:paraId="7D9B29FE"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0.439 </w:t>
            </w:r>
          </w:p>
        </w:tc>
        <w:tc>
          <w:tcPr>
            <w:tcW w:w="1540" w:type="dxa"/>
            <w:tcBorders>
              <w:top w:val="nil"/>
              <w:left w:val="nil"/>
              <w:bottom w:val="single" w:sz="4" w:space="0" w:color="auto"/>
              <w:right w:val="single" w:sz="4" w:space="0" w:color="auto"/>
            </w:tcBorders>
            <w:shd w:val="clear" w:color="auto" w:fill="auto"/>
            <w:noWrap/>
            <w:vAlign w:val="center"/>
            <w:hideMark/>
          </w:tcPr>
          <w:p w14:paraId="44A6F2C7"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10,138</w:t>
            </w:r>
          </w:p>
        </w:tc>
      </w:tr>
      <w:tr w:rsidR="0032335C" w:rsidRPr="00C63A39" w14:paraId="435E8570"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35436556" w14:textId="7B4382C1" w:rsidR="0032335C" w:rsidRPr="00C63A39" w:rsidRDefault="0032335C" w:rsidP="0032335C">
            <w:pPr>
              <w:rPr>
                <w:color w:val="000000"/>
                <w:kern w:val="22"/>
                <w:szCs w:val="22"/>
                <w:lang w:val="fr-FR" w:eastAsia="en-CA"/>
              </w:rPr>
            </w:pPr>
            <w:r w:rsidRPr="00C63A39">
              <w:rPr>
                <w:szCs w:val="22"/>
                <w:lang w:val="fr-FR"/>
              </w:rPr>
              <w:t>Togo</w:t>
            </w:r>
          </w:p>
        </w:tc>
        <w:tc>
          <w:tcPr>
            <w:tcW w:w="1540" w:type="dxa"/>
            <w:tcBorders>
              <w:top w:val="nil"/>
              <w:left w:val="nil"/>
              <w:bottom w:val="single" w:sz="4" w:space="0" w:color="auto"/>
              <w:right w:val="single" w:sz="4" w:space="0" w:color="auto"/>
            </w:tcBorders>
            <w:shd w:val="clear" w:color="auto" w:fill="auto"/>
            <w:vAlign w:val="center"/>
            <w:hideMark/>
          </w:tcPr>
          <w:p w14:paraId="75937259"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3496C5EE"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17341035"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66</w:t>
            </w:r>
          </w:p>
        </w:tc>
      </w:tr>
      <w:tr w:rsidR="0032335C" w:rsidRPr="00C63A39" w14:paraId="7CB5A242"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1C31FEC5" w14:textId="4C7CAF8F" w:rsidR="0032335C" w:rsidRPr="00C63A39" w:rsidRDefault="0032335C" w:rsidP="0032335C">
            <w:pPr>
              <w:rPr>
                <w:color w:val="000000"/>
                <w:kern w:val="22"/>
                <w:szCs w:val="22"/>
                <w:lang w:val="fr-FR" w:eastAsia="en-CA"/>
              </w:rPr>
            </w:pPr>
            <w:r w:rsidRPr="00C63A39">
              <w:rPr>
                <w:szCs w:val="22"/>
                <w:lang w:val="fr-FR"/>
              </w:rPr>
              <w:t>Tonga</w:t>
            </w:r>
          </w:p>
        </w:tc>
        <w:tc>
          <w:tcPr>
            <w:tcW w:w="1540" w:type="dxa"/>
            <w:tcBorders>
              <w:top w:val="nil"/>
              <w:left w:val="nil"/>
              <w:bottom w:val="single" w:sz="4" w:space="0" w:color="auto"/>
              <w:right w:val="single" w:sz="4" w:space="0" w:color="auto"/>
            </w:tcBorders>
            <w:shd w:val="clear" w:color="auto" w:fill="auto"/>
            <w:vAlign w:val="center"/>
            <w:hideMark/>
          </w:tcPr>
          <w:p w14:paraId="45078051"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4BD27878"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646473A6"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33</w:t>
            </w:r>
          </w:p>
        </w:tc>
      </w:tr>
      <w:tr w:rsidR="0032335C" w:rsidRPr="00C63A39" w14:paraId="48F134FB"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5F1EC0F3" w14:textId="3BB6CCBC" w:rsidR="0032335C" w:rsidRPr="00C63A39" w:rsidRDefault="0032335C" w:rsidP="0032335C">
            <w:pPr>
              <w:rPr>
                <w:color w:val="000000"/>
                <w:kern w:val="22"/>
                <w:szCs w:val="22"/>
                <w:lang w:val="fr-FR" w:eastAsia="en-CA"/>
              </w:rPr>
            </w:pPr>
            <w:r w:rsidRPr="00C63A39">
              <w:rPr>
                <w:szCs w:val="22"/>
                <w:lang w:val="fr-FR"/>
              </w:rPr>
              <w:t>Trinité-et-Tobago</w:t>
            </w:r>
          </w:p>
        </w:tc>
        <w:tc>
          <w:tcPr>
            <w:tcW w:w="1540" w:type="dxa"/>
            <w:tcBorders>
              <w:top w:val="nil"/>
              <w:left w:val="nil"/>
              <w:bottom w:val="single" w:sz="4" w:space="0" w:color="auto"/>
              <w:right w:val="single" w:sz="4" w:space="0" w:color="auto"/>
            </w:tcBorders>
            <w:shd w:val="clear" w:color="auto" w:fill="auto"/>
            <w:vAlign w:val="center"/>
            <w:hideMark/>
          </w:tcPr>
          <w:p w14:paraId="39DD1799"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0.040 </w:t>
            </w:r>
          </w:p>
        </w:tc>
        <w:tc>
          <w:tcPr>
            <w:tcW w:w="1540" w:type="dxa"/>
            <w:tcBorders>
              <w:top w:val="nil"/>
              <w:left w:val="nil"/>
              <w:bottom w:val="single" w:sz="4" w:space="0" w:color="auto"/>
              <w:right w:val="single" w:sz="4" w:space="0" w:color="auto"/>
            </w:tcBorders>
            <w:shd w:val="clear" w:color="auto" w:fill="auto"/>
            <w:noWrap/>
            <w:vAlign w:val="center"/>
            <w:hideMark/>
          </w:tcPr>
          <w:p w14:paraId="71DF22F1"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0.057 </w:t>
            </w:r>
          </w:p>
        </w:tc>
        <w:tc>
          <w:tcPr>
            <w:tcW w:w="1540" w:type="dxa"/>
            <w:tcBorders>
              <w:top w:val="nil"/>
              <w:left w:val="nil"/>
              <w:bottom w:val="single" w:sz="4" w:space="0" w:color="auto"/>
              <w:right w:val="single" w:sz="4" w:space="0" w:color="auto"/>
            </w:tcBorders>
            <w:shd w:val="clear" w:color="auto" w:fill="auto"/>
            <w:noWrap/>
            <w:vAlign w:val="center"/>
            <w:hideMark/>
          </w:tcPr>
          <w:p w14:paraId="184C7A01"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1,321</w:t>
            </w:r>
          </w:p>
        </w:tc>
      </w:tr>
      <w:tr w:rsidR="0032335C" w:rsidRPr="00C63A39" w14:paraId="64B151B5"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688A58FF" w14:textId="17E8EDF4" w:rsidR="0032335C" w:rsidRPr="00C63A39" w:rsidRDefault="0032335C" w:rsidP="0032335C">
            <w:pPr>
              <w:rPr>
                <w:color w:val="000000"/>
                <w:kern w:val="22"/>
                <w:szCs w:val="22"/>
                <w:lang w:val="fr-FR" w:eastAsia="en-CA"/>
              </w:rPr>
            </w:pPr>
            <w:r w:rsidRPr="00C63A39">
              <w:rPr>
                <w:szCs w:val="22"/>
                <w:lang w:val="fr-FR"/>
              </w:rPr>
              <w:t>Tunisie</w:t>
            </w:r>
          </w:p>
        </w:tc>
        <w:tc>
          <w:tcPr>
            <w:tcW w:w="1540" w:type="dxa"/>
            <w:tcBorders>
              <w:top w:val="nil"/>
              <w:left w:val="nil"/>
              <w:bottom w:val="single" w:sz="4" w:space="0" w:color="auto"/>
              <w:right w:val="single" w:sz="4" w:space="0" w:color="auto"/>
            </w:tcBorders>
            <w:shd w:val="clear" w:color="auto" w:fill="auto"/>
            <w:vAlign w:val="center"/>
            <w:hideMark/>
          </w:tcPr>
          <w:p w14:paraId="1E852A58"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0.025 </w:t>
            </w:r>
          </w:p>
        </w:tc>
        <w:tc>
          <w:tcPr>
            <w:tcW w:w="1540" w:type="dxa"/>
            <w:tcBorders>
              <w:top w:val="nil"/>
              <w:left w:val="nil"/>
              <w:bottom w:val="single" w:sz="4" w:space="0" w:color="auto"/>
              <w:right w:val="single" w:sz="4" w:space="0" w:color="auto"/>
            </w:tcBorders>
            <w:shd w:val="clear" w:color="auto" w:fill="auto"/>
            <w:noWrap/>
            <w:vAlign w:val="center"/>
            <w:hideMark/>
          </w:tcPr>
          <w:p w14:paraId="75B64789"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0.036 </w:t>
            </w:r>
          </w:p>
        </w:tc>
        <w:tc>
          <w:tcPr>
            <w:tcW w:w="1540" w:type="dxa"/>
            <w:tcBorders>
              <w:top w:val="nil"/>
              <w:left w:val="nil"/>
              <w:bottom w:val="single" w:sz="4" w:space="0" w:color="auto"/>
              <w:right w:val="single" w:sz="4" w:space="0" w:color="auto"/>
            </w:tcBorders>
            <w:shd w:val="clear" w:color="auto" w:fill="auto"/>
            <w:noWrap/>
            <w:vAlign w:val="center"/>
            <w:hideMark/>
          </w:tcPr>
          <w:p w14:paraId="6CE33D3D"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826</w:t>
            </w:r>
          </w:p>
        </w:tc>
      </w:tr>
      <w:tr w:rsidR="0032335C" w:rsidRPr="00C63A39" w14:paraId="6C0AAC41"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01987309" w14:textId="5EF7F664" w:rsidR="0032335C" w:rsidRPr="00C63A39" w:rsidRDefault="0032335C" w:rsidP="0032335C">
            <w:pPr>
              <w:rPr>
                <w:color w:val="000000"/>
                <w:kern w:val="22"/>
                <w:szCs w:val="22"/>
                <w:lang w:val="fr-FR" w:eastAsia="en-CA"/>
              </w:rPr>
            </w:pPr>
            <w:r w:rsidRPr="00C63A39">
              <w:rPr>
                <w:szCs w:val="22"/>
                <w:lang w:val="fr-FR"/>
              </w:rPr>
              <w:t>Turquie</w:t>
            </w:r>
          </w:p>
        </w:tc>
        <w:tc>
          <w:tcPr>
            <w:tcW w:w="1540" w:type="dxa"/>
            <w:tcBorders>
              <w:top w:val="nil"/>
              <w:left w:val="nil"/>
              <w:bottom w:val="single" w:sz="4" w:space="0" w:color="auto"/>
              <w:right w:val="single" w:sz="4" w:space="0" w:color="auto"/>
            </w:tcBorders>
            <w:shd w:val="clear" w:color="auto" w:fill="auto"/>
            <w:vAlign w:val="center"/>
            <w:hideMark/>
          </w:tcPr>
          <w:p w14:paraId="5081D16C"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1.371 </w:t>
            </w:r>
          </w:p>
        </w:tc>
        <w:tc>
          <w:tcPr>
            <w:tcW w:w="1540" w:type="dxa"/>
            <w:tcBorders>
              <w:top w:val="nil"/>
              <w:left w:val="nil"/>
              <w:bottom w:val="single" w:sz="4" w:space="0" w:color="auto"/>
              <w:right w:val="single" w:sz="4" w:space="0" w:color="auto"/>
            </w:tcBorders>
            <w:shd w:val="clear" w:color="auto" w:fill="auto"/>
            <w:noWrap/>
            <w:vAlign w:val="center"/>
            <w:hideMark/>
          </w:tcPr>
          <w:p w14:paraId="1F4BFC12"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1.959 </w:t>
            </w:r>
          </w:p>
        </w:tc>
        <w:tc>
          <w:tcPr>
            <w:tcW w:w="1540" w:type="dxa"/>
            <w:tcBorders>
              <w:top w:val="nil"/>
              <w:left w:val="nil"/>
              <w:bottom w:val="single" w:sz="4" w:space="0" w:color="auto"/>
              <w:right w:val="single" w:sz="4" w:space="0" w:color="auto"/>
            </w:tcBorders>
            <w:shd w:val="clear" w:color="auto" w:fill="auto"/>
            <w:noWrap/>
            <w:vAlign w:val="center"/>
            <w:hideMark/>
          </w:tcPr>
          <w:p w14:paraId="411209B1"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45,276</w:t>
            </w:r>
          </w:p>
        </w:tc>
      </w:tr>
      <w:tr w:rsidR="0032335C" w:rsidRPr="00C63A39" w14:paraId="667AD589"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707F3B76" w14:textId="45AEB457" w:rsidR="0032335C" w:rsidRPr="00C63A39" w:rsidRDefault="0032335C" w:rsidP="0032335C">
            <w:pPr>
              <w:rPr>
                <w:color w:val="000000"/>
                <w:kern w:val="22"/>
                <w:szCs w:val="22"/>
                <w:lang w:val="fr-FR" w:eastAsia="en-CA"/>
              </w:rPr>
            </w:pPr>
            <w:r w:rsidRPr="00C63A39">
              <w:rPr>
                <w:szCs w:val="22"/>
                <w:lang w:val="fr-FR"/>
              </w:rPr>
              <w:t>Turkménistan</w:t>
            </w:r>
          </w:p>
        </w:tc>
        <w:tc>
          <w:tcPr>
            <w:tcW w:w="1540" w:type="dxa"/>
            <w:tcBorders>
              <w:top w:val="nil"/>
              <w:left w:val="nil"/>
              <w:bottom w:val="single" w:sz="4" w:space="0" w:color="auto"/>
              <w:right w:val="single" w:sz="4" w:space="0" w:color="auto"/>
            </w:tcBorders>
            <w:shd w:val="clear" w:color="auto" w:fill="auto"/>
            <w:vAlign w:val="center"/>
            <w:hideMark/>
          </w:tcPr>
          <w:p w14:paraId="5C1915D3"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0.033 </w:t>
            </w:r>
          </w:p>
        </w:tc>
        <w:tc>
          <w:tcPr>
            <w:tcW w:w="1540" w:type="dxa"/>
            <w:tcBorders>
              <w:top w:val="nil"/>
              <w:left w:val="nil"/>
              <w:bottom w:val="single" w:sz="4" w:space="0" w:color="auto"/>
              <w:right w:val="single" w:sz="4" w:space="0" w:color="auto"/>
            </w:tcBorders>
            <w:shd w:val="clear" w:color="auto" w:fill="auto"/>
            <w:noWrap/>
            <w:vAlign w:val="center"/>
            <w:hideMark/>
          </w:tcPr>
          <w:p w14:paraId="49673883"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0.047 </w:t>
            </w:r>
          </w:p>
        </w:tc>
        <w:tc>
          <w:tcPr>
            <w:tcW w:w="1540" w:type="dxa"/>
            <w:tcBorders>
              <w:top w:val="nil"/>
              <w:left w:val="nil"/>
              <w:bottom w:val="single" w:sz="4" w:space="0" w:color="auto"/>
              <w:right w:val="single" w:sz="4" w:space="0" w:color="auto"/>
            </w:tcBorders>
            <w:shd w:val="clear" w:color="auto" w:fill="auto"/>
            <w:noWrap/>
            <w:vAlign w:val="center"/>
            <w:hideMark/>
          </w:tcPr>
          <w:p w14:paraId="17EFD2E8"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1,090</w:t>
            </w:r>
          </w:p>
        </w:tc>
      </w:tr>
      <w:tr w:rsidR="0032335C" w:rsidRPr="00C63A39" w14:paraId="009CCCFC"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115EDF02" w14:textId="46584854" w:rsidR="0032335C" w:rsidRPr="00C63A39" w:rsidRDefault="0032335C" w:rsidP="0032335C">
            <w:pPr>
              <w:rPr>
                <w:color w:val="000000"/>
                <w:kern w:val="22"/>
                <w:szCs w:val="22"/>
                <w:lang w:val="fr-FR" w:eastAsia="en-CA"/>
              </w:rPr>
            </w:pPr>
            <w:r w:rsidRPr="00C63A39">
              <w:rPr>
                <w:szCs w:val="22"/>
                <w:lang w:val="fr-FR"/>
              </w:rPr>
              <w:t>Ouganda</w:t>
            </w:r>
          </w:p>
        </w:tc>
        <w:tc>
          <w:tcPr>
            <w:tcW w:w="1540" w:type="dxa"/>
            <w:tcBorders>
              <w:top w:val="nil"/>
              <w:left w:val="nil"/>
              <w:bottom w:val="single" w:sz="4" w:space="0" w:color="auto"/>
              <w:right w:val="single" w:sz="4" w:space="0" w:color="auto"/>
            </w:tcBorders>
            <w:shd w:val="clear" w:color="auto" w:fill="auto"/>
            <w:vAlign w:val="center"/>
            <w:hideMark/>
          </w:tcPr>
          <w:p w14:paraId="7F9E1B53"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0.008 </w:t>
            </w:r>
          </w:p>
        </w:tc>
        <w:tc>
          <w:tcPr>
            <w:tcW w:w="1540" w:type="dxa"/>
            <w:tcBorders>
              <w:top w:val="nil"/>
              <w:left w:val="nil"/>
              <w:bottom w:val="single" w:sz="4" w:space="0" w:color="auto"/>
              <w:right w:val="single" w:sz="4" w:space="0" w:color="auto"/>
            </w:tcBorders>
            <w:shd w:val="clear" w:color="auto" w:fill="auto"/>
            <w:noWrap/>
            <w:vAlign w:val="center"/>
            <w:hideMark/>
          </w:tcPr>
          <w:p w14:paraId="6F8B49EB"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4D9FA57F"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231</w:t>
            </w:r>
          </w:p>
        </w:tc>
      </w:tr>
      <w:tr w:rsidR="0032335C" w:rsidRPr="00C63A39" w14:paraId="78ABE429"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1A709CD7" w14:textId="5D1CCDF3" w:rsidR="0032335C" w:rsidRPr="00C63A39" w:rsidRDefault="0032335C" w:rsidP="0032335C">
            <w:pPr>
              <w:rPr>
                <w:color w:val="000000"/>
                <w:kern w:val="22"/>
                <w:szCs w:val="22"/>
                <w:lang w:val="fr-FR" w:eastAsia="en-CA"/>
              </w:rPr>
            </w:pPr>
            <w:r w:rsidRPr="00C63A39">
              <w:rPr>
                <w:szCs w:val="22"/>
                <w:lang w:val="fr-FR"/>
              </w:rPr>
              <w:t>Ukraine</w:t>
            </w:r>
          </w:p>
        </w:tc>
        <w:tc>
          <w:tcPr>
            <w:tcW w:w="1540" w:type="dxa"/>
            <w:tcBorders>
              <w:top w:val="nil"/>
              <w:left w:val="nil"/>
              <w:bottom w:val="single" w:sz="4" w:space="0" w:color="auto"/>
              <w:right w:val="single" w:sz="4" w:space="0" w:color="auto"/>
            </w:tcBorders>
            <w:shd w:val="clear" w:color="auto" w:fill="auto"/>
            <w:vAlign w:val="center"/>
            <w:hideMark/>
          </w:tcPr>
          <w:p w14:paraId="6D3DADE9"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0.057 </w:t>
            </w:r>
          </w:p>
        </w:tc>
        <w:tc>
          <w:tcPr>
            <w:tcW w:w="1540" w:type="dxa"/>
            <w:tcBorders>
              <w:top w:val="nil"/>
              <w:left w:val="nil"/>
              <w:bottom w:val="single" w:sz="4" w:space="0" w:color="auto"/>
              <w:right w:val="single" w:sz="4" w:space="0" w:color="auto"/>
            </w:tcBorders>
            <w:shd w:val="clear" w:color="auto" w:fill="auto"/>
            <w:noWrap/>
            <w:vAlign w:val="center"/>
            <w:hideMark/>
          </w:tcPr>
          <w:p w14:paraId="7245A5C3"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0.081 </w:t>
            </w:r>
          </w:p>
        </w:tc>
        <w:tc>
          <w:tcPr>
            <w:tcW w:w="1540" w:type="dxa"/>
            <w:tcBorders>
              <w:top w:val="nil"/>
              <w:left w:val="nil"/>
              <w:bottom w:val="single" w:sz="4" w:space="0" w:color="auto"/>
              <w:right w:val="single" w:sz="4" w:space="0" w:color="auto"/>
            </w:tcBorders>
            <w:shd w:val="clear" w:color="auto" w:fill="auto"/>
            <w:noWrap/>
            <w:vAlign w:val="center"/>
            <w:hideMark/>
          </w:tcPr>
          <w:p w14:paraId="74F51176"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1,882</w:t>
            </w:r>
          </w:p>
        </w:tc>
      </w:tr>
      <w:tr w:rsidR="0032335C" w:rsidRPr="00C63A39" w14:paraId="73A7B507"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755CE251" w14:textId="2071DDA3" w:rsidR="0032335C" w:rsidRPr="00C63A39" w:rsidRDefault="0032335C" w:rsidP="0032335C">
            <w:pPr>
              <w:rPr>
                <w:color w:val="000000"/>
                <w:kern w:val="22"/>
                <w:szCs w:val="22"/>
                <w:lang w:val="fr-FR" w:eastAsia="en-CA"/>
              </w:rPr>
            </w:pPr>
            <w:r w:rsidRPr="00C63A39">
              <w:rPr>
                <w:szCs w:val="22"/>
                <w:lang w:val="fr-FR"/>
              </w:rPr>
              <w:t>Émirats arabes unis</w:t>
            </w:r>
          </w:p>
        </w:tc>
        <w:tc>
          <w:tcPr>
            <w:tcW w:w="1540" w:type="dxa"/>
            <w:tcBorders>
              <w:top w:val="nil"/>
              <w:left w:val="nil"/>
              <w:bottom w:val="single" w:sz="4" w:space="0" w:color="auto"/>
              <w:right w:val="single" w:sz="4" w:space="0" w:color="auto"/>
            </w:tcBorders>
            <w:shd w:val="clear" w:color="auto" w:fill="auto"/>
            <w:vAlign w:val="center"/>
            <w:hideMark/>
          </w:tcPr>
          <w:p w14:paraId="07632D26"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0.616 </w:t>
            </w:r>
          </w:p>
        </w:tc>
        <w:tc>
          <w:tcPr>
            <w:tcW w:w="1540" w:type="dxa"/>
            <w:tcBorders>
              <w:top w:val="nil"/>
              <w:left w:val="nil"/>
              <w:bottom w:val="single" w:sz="4" w:space="0" w:color="auto"/>
              <w:right w:val="single" w:sz="4" w:space="0" w:color="auto"/>
            </w:tcBorders>
            <w:shd w:val="clear" w:color="auto" w:fill="auto"/>
            <w:noWrap/>
            <w:vAlign w:val="center"/>
            <w:hideMark/>
          </w:tcPr>
          <w:p w14:paraId="02C7B7B1"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0.880 </w:t>
            </w:r>
          </w:p>
        </w:tc>
        <w:tc>
          <w:tcPr>
            <w:tcW w:w="1540" w:type="dxa"/>
            <w:tcBorders>
              <w:top w:val="nil"/>
              <w:left w:val="nil"/>
              <w:bottom w:val="single" w:sz="4" w:space="0" w:color="auto"/>
              <w:right w:val="single" w:sz="4" w:space="0" w:color="auto"/>
            </w:tcBorders>
            <w:shd w:val="clear" w:color="auto" w:fill="auto"/>
            <w:noWrap/>
            <w:vAlign w:val="center"/>
            <w:hideMark/>
          </w:tcPr>
          <w:p w14:paraId="42DEAD35"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20,343</w:t>
            </w:r>
          </w:p>
        </w:tc>
      </w:tr>
      <w:tr w:rsidR="0032335C" w:rsidRPr="00C63A39" w14:paraId="0CD62691"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03D8B82C" w14:textId="6B7708FB" w:rsidR="0032335C" w:rsidRPr="00C63A39" w:rsidRDefault="0032335C" w:rsidP="0032335C">
            <w:pPr>
              <w:rPr>
                <w:color w:val="000000"/>
                <w:kern w:val="22"/>
                <w:szCs w:val="22"/>
                <w:lang w:val="fr-FR" w:eastAsia="en-CA"/>
              </w:rPr>
            </w:pPr>
            <w:r w:rsidRPr="00C63A39">
              <w:rPr>
                <w:szCs w:val="22"/>
                <w:lang w:val="fr-FR"/>
              </w:rPr>
              <w:t>Royaume-Uni de Grande-Bretagne et d'Irlande du Nord</w:t>
            </w:r>
          </w:p>
        </w:tc>
        <w:tc>
          <w:tcPr>
            <w:tcW w:w="1540" w:type="dxa"/>
            <w:tcBorders>
              <w:top w:val="nil"/>
              <w:left w:val="nil"/>
              <w:bottom w:val="single" w:sz="4" w:space="0" w:color="auto"/>
              <w:right w:val="single" w:sz="4" w:space="0" w:color="auto"/>
            </w:tcBorders>
            <w:shd w:val="clear" w:color="auto" w:fill="auto"/>
            <w:vAlign w:val="center"/>
            <w:hideMark/>
          </w:tcPr>
          <w:p w14:paraId="2C1E0F62"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4.567 </w:t>
            </w:r>
          </w:p>
        </w:tc>
        <w:tc>
          <w:tcPr>
            <w:tcW w:w="1540" w:type="dxa"/>
            <w:tcBorders>
              <w:top w:val="nil"/>
              <w:left w:val="nil"/>
              <w:bottom w:val="single" w:sz="4" w:space="0" w:color="auto"/>
              <w:right w:val="single" w:sz="4" w:space="0" w:color="auto"/>
            </w:tcBorders>
            <w:shd w:val="clear" w:color="auto" w:fill="auto"/>
            <w:noWrap/>
            <w:vAlign w:val="center"/>
            <w:hideMark/>
          </w:tcPr>
          <w:p w14:paraId="1840DA33"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6.525 </w:t>
            </w:r>
          </w:p>
        </w:tc>
        <w:tc>
          <w:tcPr>
            <w:tcW w:w="1540" w:type="dxa"/>
            <w:tcBorders>
              <w:top w:val="nil"/>
              <w:left w:val="nil"/>
              <w:bottom w:val="single" w:sz="4" w:space="0" w:color="auto"/>
              <w:right w:val="single" w:sz="4" w:space="0" w:color="auto"/>
            </w:tcBorders>
            <w:shd w:val="clear" w:color="auto" w:fill="auto"/>
            <w:noWrap/>
            <w:vAlign w:val="center"/>
            <w:hideMark/>
          </w:tcPr>
          <w:p w14:paraId="0AFFA7D4"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150,822</w:t>
            </w:r>
          </w:p>
        </w:tc>
      </w:tr>
      <w:tr w:rsidR="0032335C" w:rsidRPr="00C63A39" w14:paraId="37B00FD1"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0E924525" w14:textId="380A85A5" w:rsidR="0032335C" w:rsidRPr="00C63A39" w:rsidRDefault="0032335C" w:rsidP="0032335C">
            <w:pPr>
              <w:rPr>
                <w:color w:val="000000"/>
                <w:kern w:val="22"/>
                <w:szCs w:val="22"/>
                <w:lang w:val="fr-FR" w:eastAsia="en-CA"/>
              </w:rPr>
            </w:pPr>
            <w:r w:rsidRPr="00C63A39">
              <w:rPr>
                <w:szCs w:val="22"/>
                <w:lang w:val="fr-FR"/>
              </w:rPr>
              <w:t>République-Unie de Tanzanie</w:t>
            </w:r>
          </w:p>
        </w:tc>
        <w:tc>
          <w:tcPr>
            <w:tcW w:w="1540" w:type="dxa"/>
            <w:tcBorders>
              <w:top w:val="nil"/>
              <w:left w:val="nil"/>
              <w:bottom w:val="single" w:sz="4" w:space="0" w:color="auto"/>
              <w:right w:val="single" w:sz="4" w:space="0" w:color="auto"/>
            </w:tcBorders>
            <w:shd w:val="clear" w:color="auto" w:fill="auto"/>
            <w:vAlign w:val="center"/>
            <w:hideMark/>
          </w:tcPr>
          <w:p w14:paraId="1C736653"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12293561"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51F178B1"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231</w:t>
            </w:r>
          </w:p>
        </w:tc>
      </w:tr>
      <w:tr w:rsidR="0032335C" w:rsidRPr="00C63A39" w14:paraId="3E7AFE88"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785BA5E1" w14:textId="0A954427" w:rsidR="0032335C" w:rsidRPr="00C63A39" w:rsidRDefault="0032335C" w:rsidP="0032335C">
            <w:pPr>
              <w:rPr>
                <w:color w:val="000000"/>
                <w:kern w:val="22"/>
                <w:szCs w:val="22"/>
                <w:lang w:val="fr-FR" w:eastAsia="en-CA"/>
              </w:rPr>
            </w:pPr>
            <w:r w:rsidRPr="00C63A39">
              <w:rPr>
                <w:szCs w:val="22"/>
                <w:lang w:val="fr-FR"/>
              </w:rPr>
              <w:t>Uruguay</w:t>
            </w:r>
          </w:p>
        </w:tc>
        <w:tc>
          <w:tcPr>
            <w:tcW w:w="1540" w:type="dxa"/>
            <w:tcBorders>
              <w:top w:val="nil"/>
              <w:left w:val="nil"/>
              <w:bottom w:val="single" w:sz="4" w:space="0" w:color="auto"/>
              <w:right w:val="single" w:sz="4" w:space="0" w:color="auto"/>
            </w:tcBorders>
            <w:shd w:val="clear" w:color="auto" w:fill="auto"/>
            <w:vAlign w:val="center"/>
            <w:hideMark/>
          </w:tcPr>
          <w:p w14:paraId="6EF7AA96"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0.087 </w:t>
            </w:r>
          </w:p>
        </w:tc>
        <w:tc>
          <w:tcPr>
            <w:tcW w:w="1540" w:type="dxa"/>
            <w:tcBorders>
              <w:top w:val="nil"/>
              <w:left w:val="nil"/>
              <w:bottom w:val="single" w:sz="4" w:space="0" w:color="auto"/>
              <w:right w:val="single" w:sz="4" w:space="0" w:color="auto"/>
            </w:tcBorders>
            <w:shd w:val="clear" w:color="auto" w:fill="auto"/>
            <w:noWrap/>
            <w:vAlign w:val="center"/>
            <w:hideMark/>
          </w:tcPr>
          <w:p w14:paraId="2E583474"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0.124 </w:t>
            </w:r>
          </w:p>
        </w:tc>
        <w:tc>
          <w:tcPr>
            <w:tcW w:w="1540" w:type="dxa"/>
            <w:tcBorders>
              <w:top w:val="nil"/>
              <w:left w:val="nil"/>
              <w:bottom w:val="single" w:sz="4" w:space="0" w:color="auto"/>
              <w:right w:val="single" w:sz="4" w:space="0" w:color="auto"/>
            </w:tcBorders>
            <w:shd w:val="clear" w:color="auto" w:fill="auto"/>
            <w:noWrap/>
            <w:vAlign w:val="center"/>
            <w:hideMark/>
          </w:tcPr>
          <w:p w14:paraId="08E118A4"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2,873</w:t>
            </w:r>
          </w:p>
        </w:tc>
      </w:tr>
      <w:tr w:rsidR="0069360B" w:rsidRPr="00C63A39" w14:paraId="1490F53E"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tcPr>
          <w:p w14:paraId="1F530063" w14:textId="55237382" w:rsidR="0069360B" w:rsidRPr="00C63A39" w:rsidRDefault="0069360B" w:rsidP="0069360B">
            <w:pPr>
              <w:ind w:left="720" w:hanging="720"/>
              <w:rPr>
                <w:szCs w:val="22"/>
                <w:lang w:val="fr-FR"/>
              </w:rPr>
            </w:pPr>
            <w:r w:rsidRPr="00C63A39">
              <w:rPr>
                <w:szCs w:val="22"/>
                <w:lang w:val="fr-FR"/>
              </w:rPr>
              <w:t>Ouzbékistan</w:t>
            </w:r>
          </w:p>
        </w:tc>
        <w:tc>
          <w:tcPr>
            <w:tcW w:w="1540" w:type="dxa"/>
            <w:tcBorders>
              <w:top w:val="nil"/>
              <w:left w:val="nil"/>
              <w:bottom w:val="single" w:sz="4" w:space="0" w:color="auto"/>
              <w:right w:val="single" w:sz="4" w:space="0" w:color="auto"/>
            </w:tcBorders>
            <w:shd w:val="clear" w:color="auto" w:fill="auto"/>
            <w:vAlign w:val="center"/>
          </w:tcPr>
          <w:p w14:paraId="4E428A57" w14:textId="7F2B9B32" w:rsidR="0069360B" w:rsidRPr="00C63A39" w:rsidRDefault="0069360B" w:rsidP="0069360B">
            <w:pPr>
              <w:ind w:left="720" w:hanging="720"/>
              <w:jc w:val="right"/>
              <w:rPr>
                <w:color w:val="000000"/>
                <w:kern w:val="22"/>
                <w:szCs w:val="22"/>
                <w:lang w:val="fr-FR" w:eastAsia="en-CA"/>
              </w:rPr>
            </w:pPr>
            <w:r w:rsidRPr="00C63A39">
              <w:rPr>
                <w:color w:val="000000"/>
                <w:kern w:val="22"/>
                <w:szCs w:val="22"/>
                <w:lang w:eastAsia="en-CA"/>
              </w:rPr>
              <w:t>0.032</w:t>
            </w:r>
          </w:p>
        </w:tc>
        <w:tc>
          <w:tcPr>
            <w:tcW w:w="1540" w:type="dxa"/>
            <w:tcBorders>
              <w:top w:val="nil"/>
              <w:left w:val="nil"/>
              <w:bottom w:val="single" w:sz="4" w:space="0" w:color="auto"/>
              <w:right w:val="single" w:sz="4" w:space="0" w:color="auto"/>
            </w:tcBorders>
            <w:shd w:val="clear" w:color="auto" w:fill="auto"/>
            <w:noWrap/>
            <w:vAlign w:val="center"/>
          </w:tcPr>
          <w:p w14:paraId="69C2042B" w14:textId="46EDCB45" w:rsidR="0069360B" w:rsidRPr="00C63A39" w:rsidRDefault="0069360B" w:rsidP="0069360B">
            <w:pPr>
              <w:ind w:left="720" w:hanging="720"/>
              <w:jc w:val="right"/>
              <w:rPr>
                <w:color w:val="000000"/>
                <w:kern w:val="22"/>
                <w:szCs w:val="22"/>
                <w:lang w:val="fr-FR" w:eastAsia="en-CA"/>
              </w:rPr>
            </w:pPr>
            <w:r w:rsidRPr="00C63A39">
              <w:rPr>
                <w:color w:val="000000"/>
                <w:kern w:val="22"/>
                <w:szCs w:val="22"/>
                <w:lang w:eastAsia="en-CA"/>
              </w:rPr>
              <w:t>0.046</w:t>
            </w:r>
          </w:p>
        </w:tc>
        <w:tc>
          <w:tcPr>
            <w:tcW w:w="1540" w:type="dxa"/>
            <w:tcBorders>
              <w:top w:val="nil"/>
              <w:left w:val="nil"/>
              <w:bottom w:val="single" w:sz="4" w:space="0" w:color="auto"/>
              <w:right w:val="single" w:sz="4" w:space="0" w:color="auto"/>
            </w:tcBorders>
            <w:shd w:val="clear" w:color="auto" w:fill="auto"/>
            <w:noWrap/>
            <w:vAlign w:val="center"/>
          </w:tcPr>
          <w:p w14:paraId="5326DA49" w14:textId="2B9BE485" w:rsidR="0069360B" w:rsidRPr="00C63A39" w:rsidRDefault="0069360B" w:rsidP="0069360B">
            <w:pPr>
              <w:ind w:left="720" w:hanging="720"/>
              <w:jc w:val="right"/>
              <w:rPr>
                <w:color w:val="000000"/>
                <w:kern w:val="22"/>
                <w:szCs w:val="22"/>
                <w:lang w:val="fr-FR" w:eastAsia="en-CA"/>
              </w:rPr>
            </w:pPr>
            <w:r w:rsidRPr="00C63A39">
              <w:rPr>
                <w:color w:val="000000"/>
                <w:kern w:val="22"/>
                <w:szCs w:val="22"/>
                <w:lang w:eastAsia="en-CA"/>
              </w:rPr>
              <w:t>1,057</w:t>
            </w:r>
          </w:p>
        </w:tc>
      </w:tr>
      <w:tr w:rsidR="0069360B" w:rsidRPr="00C63A39" w14:paraId="7740889E"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0F836EAB" w14:textId="3339CAC3" w:rsidR="0069360B" w:rsidRPr="00C63A39" w:rsidRDefault="0069360B" w:rsidP="0069360B">
            <w:pPr>
              <w:rPr>
                <w:color w:val="000000"/>
                <w:kern w:val="22"/>
                <w:szCs w:val="22"/>
                <w:lang w:val="fr-FR" w:eastAsia="en-CA"/>
              </w:rPr>
            </w:pPr>
            <w:r w:rsidRPr="00C63A39">
              <w:rPr>
                <w:szCs w:val="22"/>
                <w:lang w:val="fr-FR"/>
              </w:rPr>
              <w:t xml:space="preserve">Venezuela (République bolivarienne du) </w:t>
            </w:r>
          </w:p>
        </w:tc>
        <w:tc>
          <w:tcPr>
            <w:tcW w:w="1540" w:type="dxa"/>
            <w:tcBorders>
              <w:top w:val="nil"/>
              <w:left w:val="nil"/>
              <w:bottom w:val="single" w:sz="4" w:space="0" w:color="auto"/>
              <w:right w:val="single" w:sz="4" w:space="0" w:color="auto"/>
            </w:tcBorders>
            <w:shd w:val="clear" w:color="auto" w:fill="auto"/>
            <w:vAlign w:val="center"/>
            <w:hideMark/>
          </w:tcPr>
          <w:p w14:paraId="40393FA2" w14:textId="3FAB52A6" w:rsidR="0069360B" w:rsidRPr="00C63A39" w:rsidRDefault="0069360B" w:rsidP="0069360B">
            <w:pPr>
              <w:jc w:val="right"/>
              <w:rPr>
                <w:color w:val="000000"/>
                <w:kern w:val="22"/>
                <w:szCs w:val="22"/>
                <w:lang w:val="fr-FR" w:eastAsia="en-CA"/>
              </w:rPr>
            </w:pPr>
            <w:r w:rsidRPr="00C63A39">
              <w:rPr>
                <w:color w:val="000000"/>
                <w:kern w:val="22"/>
                <w:szCs w:val="22"/>
                <w:lang w:eastAsia="en-CA"/>
              </w:rPr>
              <w:t>0.728</w:t>
            </w:r>
          </w:p>
        </w:tc>
        <w:tc>
          <w:tcPr>
            <w:tcW w:w="1540" w:type="dxa"/>
            <w:tcBorders>
              <w:top w:val="nil"/>
              <w:left w:val="nil"/>
              <w:bottom w:val="single" w:sz="4" w:space="0" w:color="auto"/>
              <w:right w:val="single" w:sz="4" w:space="0" w:color="auto"/>
            </w:tcBorders>
            <w:shd w:val="clear" w:color="auto" w:fill="auto"/>
            <w:noWrap/>
            <w:vAlign w:val="center"/>
            <w:hideMark/>
          </w:tcPr>
          <w:p w14:paraId="6F4AF574" w14:textId="39A9A304" w:rsidR="0069360B" w:rsidRPr="00C63A39" w:rsidRDefault="0069360B" w:rsidP="0069360B">
            <w:pPr>
              <w:jc w:val="right"/>
              <w:rPr>
                <w:color w:val="000000"/>
                <w:kern w:val="22"/>
                <w:szCs w:val="22"/>
                <w:lang w:val="fr-FR" w:eastAsia="en-CA"/>
              </w:rPr>
            </w:pPr>
            <w:r w:rsidRPr="00C63A39">
              <w:rPr>
                <w:color w:val="000000"/>
                <w:kern w:val="22"/>
                <w:szCs w:val="22"/>
                <w:lang w:eastAsia="en-CA"/>
              </w:rPr>
              <w:t>1.040</w:t>
            </w:r>
          </w:p>
        </w:tc>
        <w:tc>
          <w:tcPr>
            <w:tcW w:w="1540" w:type="dxa"/>
            <w:tcBorders>
              <w:top w:val="nil"/>
              <w:left w:val="nil"/>
              <w:bottom w:val="single" w:sz="4" w:space="0" w:color="auto"/>
              <w:right w:val="single" w:sz="4" w:space="0" w:color="auto"/>
            </w:tcBorders>
            <w:shd w:val="clear" w:color="auto" w:fill="auto"/>
            <w:noWrap/>
            <w:vAlign w:val="center"/>
            <w:hideMark/>
          </w:tcPr>
          <w:p w14:paraId="29B7478C" w14:textId="102FDE6D" w:rsidR="0069360B" w:rsidRPr="00C63A39" w:rsidRDefault="0069360B" w:rsidP="0069360B">
            <w:pPr>
              <w:jc w:val="right"/>
              <w:rPr>
                <w:color w:val="000000"/>
                <w:kern w:val="22"/>
                <w:szCs w:val="22"/>
                <w:lang w:val="fr-FR" w:eastAsia="en-CA"/>
              </w:rPr>
            </w:pPr>
            <w:r w:rsidRPr="00C63A39">
              <w:rPr>
                <w:color w:val="000000"/>
                <w:kern w:val="22"/>
                <w:szCs w:val="22"/>
                <w:lang w:eastAsia="en-CA"/>
              </w:rPr>
              <w:t>24,042</w:t>
            </w:r>
          </w:p>
        </w:tc>
      </w:tr>
      <w:tr w:rsidR="0069360B" w:rsidRPr="00C63A39" w14:paraId="2723DB3D"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01C60F89" w14:textId="35B9DF86" w:rsidR="0069360B" w:rsidRPr="00C63A39" w:rsidRDefault="0069360B" w:rsidP="0069360B">
            <w:pPr>
              <w:rPr>
                <w:color w:val="000000"/>
                <w:kern w:val="22"/>
                <w:szCs w:val="22"/>
                <w:lang w:val="fr-FR" w:eastAsia="en-CA"/>
              </w:rPr>
            </w:pPr>
            <w:r w:rsidRPr="00C63A39">
              <w:rPr>
                <w:szCs w:val="22"/>
                <w:lang w:val="fr-FR"/>
              </w:rPr>
              <w:t>Le Viêt Nam</w:t>
            </w:r>
          </w:p>
        </w:tc>
        <w:tc>
          <w:tcPr>
            <w:tcW w:w="1540" w:type="dxa"/>
            <w:tcBorders>
              <w:top w:val="nil"/>
              <w:left w:val="nil"/>
              <w:bottom w:val="single" w:sz="4" w:space="0" w:color="auto"/>
              <w:right w:val="single" w:sz="4" w:space="0" w:color="auto"/>
            </w:tcBorders>
            <w:shd w:val="clear" w:color="auto" w:fill="auto"/>
            <w:vAlign w:val="center"/>
            <w:hideMark/>
          </w:tcPr>
          <w:p w14:paraId="264EB13F" w14:textId="7607F40F" w:rsidR="0069360B" w:rsidRPr="00C63A39" w:rsidRDefault="0069360B" w:rsidP="0069360B">
            <w:pPr>
              <w:jc w:val="right"/>
              <w:rPr>
                <w:color w:val="000000"/>
                <w:kern w:val="22"/>
                <w:szCs w:val="22"/>
                <w:lang w:val="fr-FR" w:eastAsia="en-CA"/>
              </w:rPr>
            </w:pPr>
            <w:r w:rsidRPr="00C63A39">
              <w:rPr>
                <w:color w:val="000000"/>
                <w:kern w:val="22"/>
                <w:szCs w:val="22"/>
                <w:lang w:eastAsia="en-CA"/>
              </w:rPr>
              <w:t>0.077</w:t>
            </w:r>
          </w:p>
        </w:tc>
        <w:tc>
          <w:tcPr>
            <w:tcW w:w="1540" w:type="dxa"/>
            <w:tcBorders>
              <w:top w:val="nil"/>
              <w:left w:val="nil"/>
              <w:bottom w:val="single" w:sz="4" w:space="0" w:color="auto"/>
              <w:right w:val="single" w:sz="4" w:space="0" w:color="auto"/>
            </w:tcBorders>
            <w:shd w:val="clear" w:color="auto" w:fill="auto"/>
            <w:noWrap/>
            <w:vAlign w:val="center"/>
            <w:hideMark/>
          </w:tcPr>
          <w:p w14:paraId="33F27364" w14:textId="47951035" w:rsidR="0069360B" w:rsidRPr="00C63A39" w:rsidRDefault="0069360B" w:rsidP="0069360B">
            <w:pPr>
              <w:jc w:val="right"/>
              <w:rPr>
                <w:color w:val="000000"/>
                <w:kern w:val="22"/>
                <w:szCs w:val="22"/>
                <w:lang w:val="fr-FR" w:eastAsia="en-CA"/>
              </w:rPr>
            </w:pPr>
            <w:r w:rsidRPr="00C63A39">
              <w:rPr>
                <w:color w:val="000000"/>
                <w:kern w:val="22"/>
                <w:szCs w:val="22"/>
                <w:lang w:eastAsia="en-CA"/>
              </w:rPr>
              <w:t>0.110</w:t>
            </w:r>
          </w:p>
        </w:tc>
        <w:tc>
          <w:tcPr>
            <w:tcW w:w="1540" w:type="dxa"/>
            <w:tcBorders>
              <w:top w:val="nil"/>
              <w:left w:val="nil"/>
              <w:bottom w:val="single" w:sz="4" w:space="0" w:color="auto"/>
              <w:right w:val="single" w:sz="4" w:space="0" w:color="auto"/>
            </w:tcBorders>
            <w:shd w:val="clear" w:color="auto" w:fill="auto"/>
            <w:noWrap/>
            <w:vAlign w:val="center"/>
            <w:hideMark/>
          </w:tcPr>
          <w:p w14:paraId="774181F7" w14:textId="3BA4B658" w:rsidR="0069360B" w:rsidRPr="00C63A39" w:rsidRDefault="0069360B" w:rsidP="0069360B">
            <w:pPr>
              <w:jc w:val="right"/>
              <w:rPr>
                <w:color w:val="000000"/>
                <w:kern w:val="22"/>
                <w:szCs w:val="22"/>
                <w:lang w:val="fr-FR" w:eastAsia="en-CA"/>
              </w:rPr>
            </w:pPr>
            <w:r w:rsidRPr="00C63A39">
              <w:rPr>
                <w:color w:val="000000"/>
                <w:kern w:val="22"/>
                <w:szCs w:val="22"/>
                <w:lang w:eastAsia="en-CA"/>
              </w:rPr>
              <w:t>2,543</w:t>
            </w:r>
          </w:p>
        </w:tc>
      </w:tr>
    </w:tbl>
    <w:p w14:paraId="73E8C8B0" w14:textId="0C79B0C0" w:rsidR="001F110D" w:rsidRPr="00C63A39" w:rsidRDefault="001F110D" w:rsidP="0079737F">
      <w:pPr>
        <w:spacing w:after="160" w:line="259" w:lineRule="auto"/>
        <w:rPr>
          <w:rFonts w:eastAsiaTheme="minorEastAsia"/>
          <w:bCs/>
          <w:kern w:val="22"/>
          <w:szCs w:val="22"/>
          <w:lang w:val="fr-FR"/>
        </w:rPr>
      </w:pPr>
    </w:p>
    <w:p w14:paraId="337E66C1" w14:textId="77777777" w:rsidR="001F110D" w:rsidRPr="00C63A39" w:rsidRDefault="001F110D">
      <w:pPr>
        <w:spacing w:after="160" w:line="259" w:lineRule="auto"/>
        <w:rPr>
          <w:rFonts w:eastAsiaTheme="minorEastAsia"/>
          <w:bCs/>
          <w:kern w:val="22"/>
          <w:szCs w:val="22"/>
          <w:lang w:val="fr-FR"/>
        </w:rPr>
      </w:pPr>
      <w:r w:rsidRPr="00C63A39">
        <w:rPr>
          <w:rFonts w:eastAsiaTheme="minorEastAsia"/>
          <w:bCs/>
          <w:kern w:val="22"/>
          <w:szCs w:val="22"/>
          <w:lang w:val="fr-FR"/>
        </w:rPr>
        <w:br w:type="page"/>
      </w:r>
    </w:p>
    <w:tbl>
      <w:tblPr>
        <w:tblW w:w="9420" w:type="dxa"/>
        <w:tblLook w:val="04A0" w:firstRow="1" w:lastRow="0" w:firstColumn="1" w:lastColumn="0" w:noHBand="0" w:noVBand="1"/>
      </w:tblPr>
      <w:tblGrid>
        <w:gridCol w:w="4800"/>
        <w:gridCol w:w="1540"/>
        <w:gridCol w:w="1540"/>
        <w:gridCol w:w="1540"/>
      </w:tblGrid>
      <w:tr w:rsidR="005F7E95" w:rsidRPr="00C63A39" w14:paraId="176B1755" w14:textId="77777777" w:rsidTr="001F110D">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A14C21" w14:textId="5940E332" w:rsidR="005F7E95" w:rsidRPr="00C63A39" w:rsidRDefault="005F7E95" w:rsidP="005F7E95">
            <w:pPr>
              <w:jc w:val="center"/>
              <w:rPr>
                <w:b/>
                <w:bCs/>
                <w:kern w:val="22"/>
                <w:szCs w:val="22"/>
                <w:lang w:val="fr-FR" w:eastAsia="en-CA"/>
              </w:rPr>
            </w:pPr>
            <w:r w:rsidRPr="00C63A39">
              <w:rPr>
                <w:b/>
                <w:bCs/>
                <w:kern w:val="22"/>
                <w:szCs w:val="22"/>
                <w:lang w:val="fr-FR" w:eastAsia="en-CA"/>
              </w:rPr>
              <w:lastRenderedPageBreak/>
              <w:t>Partie</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06F251E1" w14:textId="51A22D29" w:rsidR="005F7E95" w:rsidRPr="00C63A39" w:rsidRDefault="005F7E95" w:rsidP="005F7E95">
            <w:pPr>
              <w:jc w:val="center"/>
              <w:rPr>
                <w:b/>
                <w:bCs/>
                <w:color w:val="000000"/>
                <w:kern w:val="22"/>
                <w:szCs w:val="22"/>
                <w:lang w:val="fr-FR" w:eastAsia="en-CA"/>
              </w:rPr>
            </w:pPr>
            <w:r w:rsidRPr="00C63A39">
              <w:rPr>
                <w:b/>
                <w:bCs/>
                <w:color w:val="000000"/>
                <w:kern w:val="22"/>
                <w:szCs w:val="22"/>
                <w:lang w:val="fr-FR" w:eastAsia="en-CA"/>
              </w:rPr>
              <w:t xml:space="preserve">Barème des quotes-parts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193BC795" w14:textId="2A516D76" w:rsidR="005F7E95" w:rsidRPr="00C63A39" w:rsidRDefault="005F7E95" w:rsidP="005F7E95">
            <w:pPr>
              <w:jc w:val="center"/>
              <w:rPr>
                <w:b/>
                <w:bCs/>
                <w:color w:val="000000"/>
                <w:kern w:val="22"/>
                <w:szCs w:val="22"/>
                <w:lang w:val="fr-FR" w:eastAsia="en-CA"/>
              </w:rPr>
            </w:pPr>
            <w:r w:rsidRPr="00C63A39">
              <w:rPr>
                <w:b/>
                <w:bCs/>
                <w:color w:val="000000"/>
                <w:kern w:val="22"/>
                <w:szCs w:val="22"/>
                <w:lang w:val="fr-FR" w:eastAsia="en-CA"/>
              </w:rPr>
              <w:t>Barème assorti d’un plafond de 22% ; aucun PMA ne paie plus de 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2564645D" w14:textId="20CB3400" w:rsidR="005F7E95" w:rsidRPr="00C63A39" w:rsidRDefault="005F7E95" w:rsidP="005F7E95">
            <w:pPr>
              <w:jc w:val="center"/>
              <w:rPr>
                <w:b/>
                <w:bCs/>
                <w:color w:val="000000"/>
                <w:kern w:val="22"/>
                <w:szCs w:val="22"/>
                <w:lang w:val="fr-FR" w:eastAsia="en-CA"/>
              </w:rPr>
            </w:pPr>
            <w:r w:rsidRPr="00C63A39">
              <w:rPr>
                <w:b/>
                <w:bCs/>
                <w:color w:val="000000"/>
                <w:kern w:val="22"/>
                <w:szCs w:val="22"/>
                <w:lang w:val="fr-FR" w:eastAsia="en-CA"/>
              </w:rPr>
              <w:t>Contributions au 1er janvier 2020</w:t>
            </w:r>
          </w:p>
        </w:tc>
      </w:tr>
      <w:tr w:rsidR="0032335C" w:rsidRPr="00C63A39" w14:paraId="39EC6649"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026ADFAA" w14:textId="04975D3B" w:rsidR="0032335C" w:rsidRPr="00C63A39" w:rsidRDefault="0032335C" w:rsidP="0032335C">
            <w:pPr>
              <w:rPr>
                <w:color w:val="000000"/>
                <w:kern w:val="22"/>
                <w:szCs w:val="22"/>
                <w:lang w:val="fr-FR" w:eastAsia="en-CA"/>
              </w:rPr>
            </w:pPr>
            <w:r w:rsidRPr="00C63A39">
              <w:rPr>
                <w:szCs w:val="22"/>
                <w:lang w:val="fr-FR"/>
              </w:rPr>
              <w:t>Yémen</w:t>
            </w:r>
          </w:p>
        </w:tc>
        <w:tc>
          <w:tcPr>
            <w:tcW w:w="1540" w:type="dxa"/>
            <w:tcBorders>
              <w:top w:val="nil"/>
              <w:left w:val="nil"/>
              <w:bottom w:val="single" w:sz="4" w:space="0" w:color="auto"/>
              <w:right w:val="single" w:sz="4" w:space="0" w:color="auto"/>
            </w:tcBorders>
            <w:shd w:val="clear" w:color="auto" w:fill="auto"/>
            <w:vAlign w:val="center"/>
            <w:hideMark/>
          </w:tcPr>
          <w:p w14:paraId="591330AF"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503F7EB2"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2EEC4A55"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231</w:t>
            </w:r>
          </w:p>
        </w:tc>
      </w:tr>
      <w:tr w:rsidR="0032335C" w:rsidRPr="00C63A39" w14:paraId="58BA8C5D"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3D1CDC55" w14:textId="63F40CD0" w:rsidR="0032335C" w:rsidRPr="00C63A39" w:rsidRDefault="0032335C" w:rsidP="0032335C">
            <w:pPr>
              <w:rPr>
                <w:color w:val="000000"/>
                <w:kern w:val="22"/>
                <w:szCs w:val="22"/>
                <w:lang w:val="fr-FR" w:eastAsia="en-CA"/>
              </w:rPr>
            </w:pPr>
            <w:r w:rsidRPr="00C63A39">
              <w:rPr>
                <w:szCs w:val="22"/>
                <w:lang w:val="fr-FR"/>
              </w:rPr>
              <w:t>Zambie</w:t>
            </w:r>
          </w:p>
        </w:tc>
        <w:tc>
          <w:tcPr>
            <w:tcW w:w="1540" w:type="dxa"/>
            <w:tcBorders>
              <w:top w:val="nil"/>
              <w:left w:val="nil"/>
              <w:bottom w:val="single" w:sz="4" w:space="0" w:color="auto"/>
              <w:right w:val="single" w:sz="4" w:space="0" w:color="auto"/>
            </w:tcBorders>
            <w:shd w:val="clear" w:color="auto" w:fill="auto"/>
            <w:vAlign w:val="center"/>
            <w:hideMark/>
          </w:tcPr>
          <w:p w14:paraId="173D6C3E"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14:paraId="2A6E4551"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0.013 </w:t>
            </w:r>
          </w:p>
        </w:tc>
        <w:tc>
          <w:tcPr>
            <w:tcW w:w="1540" w:type="dxa"/>
            <w:tcBorders>
              <w:top w:val="nil"/>
              <w:left w:val="nil"/>
              <w:bottom w:val="single" w:sz="4" w:space="0" w:color="auto"/>
              <w:right w:val="single" w:sz="4" w:space="0" w:color="auto"/>
            </w:tcBorders>
            <w:shd w:val="clear" w:color="auto" w:fill="auto"/>
            <w:noWrap/>
            <w:vAlign w:val="center"/>
            <w:hideMark/>
          </w:tcPr>
          <w:p w14:paraId="6365F024"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297</w:t>
            </w:r>
          </w:p>
        </w:tc>
      </w:tr>
      <w:tr w:rsidR="0032335C" w:rsidRPr="00C63A39" w14:paraId="1F1FEECC"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07A7AC39" w14:textId="20066A6F" w:rsidR="0032335C" w:rsidRPr="00C63A39" w:rsidRDefault="0032335C" w:rsidP="0032335C">
            <w:pPr>
              <w:rPr>
                <w:color w:val="000000"/>
                <w:kern w:val="22"/>
                <w:szCs w:val="22"/>
                <w:lang w:val="fr-FR" w:eastAsia="en-CA"/>
              </w:rPr>
            </w:pPr>
            <w:r w:rsidRPr="00C63A39">
              <w:rPr>
                <w:szCs w:val="22"/>
                <w:lang w:val="fr-FR"/>
              </w:rPr>
              <w:t>Zimbabwe</w:t>
            </w:r>
          </w:p>
        </w:tc>
        <w:tc>
          <w:tcPr>
            <w:tcW w:w="1540" w:type="dxa"/>
            <w:tcBorders>
              <w:top w:val="nil"/>
              <w:left w:val="nil"/>
              <w:bottom w:val="single" w:sz="4" w:space="0" w:color="auto"/>
              <w:right w:val="single" w:sz="4" w:space="0" w:color="auto"/>
            </w:tcBorders>
            <w:shd w:val="clear" w:color="auto" w:fill="auto"/>
            <w:vAlign w:val="center"/>
            <w:hideMark/>
          </w:tcPr>
          <w:p w14:paraId="4686B16B"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14:paraId="38511DE1"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14:paraId="1AF40992"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165</w:t>
            </w:r>
          </w:p>
        </w:tc>
      </w:tr>
      <w:tr w:rsidR="0032335C" w:rsidRPr="00C63A39" w14:paraId="1895679F"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noWrap/>
            <w:hideMark/>
          </w:tcPr>
          <w:p w14:paraId="354BC5D7" w14:textId="60A1A03D" w:rsidR="0032335C" w:rsidRPr="00B90371" w:rsidRDefault="0032335C" w:rsidP="0032335C">
            <w:pPr>
              <w:rPr>
                <w:b/>
                <w:bCs/>
                <w:color w:val="000000"/>
                <w:kern w:val="22"/>
                <w:szCs w:val="22"/>
                <w:lang w:val="fr-FR" w:eastAsia="en-CA"/>
              </w:rPr>
            </w:pPr>
            <w:r w:rsidRPr="00B90371">
              <w:rPr>
                <w:b/>
                <w:bCs/>
                <w:szCs w:val="22"/>
                <w:lang w:val="fr-FR"/>
              </w:rPr>
              <w:t>Total</w:t>
            </w:r>
          </w:p>
        </w:tc>
        <w:tc>
          <w:tcPr>
            <w:tcW w:w="1540" w:type="dxa"/>
            <w:tcBorders>
              <w:top w:val="nil"/>
              <w:left w:val="nil"/>
              <w:bottom w:val="single" w:sz="4" w:space="0" w:color="auto"/>
              <w:right w:val="single" w:sz="4" w:space="0" w:color="auto"/>
            </w:tcBorders>
            <w:shd w:val="clear" w:color="auto" w:fill="auto"/>
            <w:vAlign w:val="center"/>
            <w:hideMark/>
          </w:tcPr>
          <w:p w14:paraId="36F18A4B" w14:textId="77777777" w:rsidR="0032335C" w:rsidRPr="00C63A39" w:rsidRDefault="0032335C" w:rsidP="0032335C">
            <w:pPr>
              <w:jc w:val="right"/>
              <w:rPr>
                <w:b/>
                <w:bCs/>
                <w:color w:val="000000"/>
                <w:kern w:val="22"/>
                <w:szCs w:val="22"/>
                <w:lang w:val="fr-FR" w:eastAsia="en-CA"/>
              </w:rPr>
            </w:pPr>
            <w:r w:rsidRPr="00C63A39">
              <w:rPr>
                <w:b/>
                <w:bCs/>
                <w:color w:val="000000"/>
                <w:kern w:val="22"/>
                <w:szCs w:val="22"/>
                <w:lang w:val="fr-FR" w:eastAsia="en-CA"/>
              </w:rPr>
              <w:t xml:space="preserve">68.263 </w:t>
            </w:r>
          </w:p>
        </w:tc>
        <w:tc>
          <w:tcPr>
            <w:tcW w:w="1540" w:type="dxa"/>
            <w:tcBorders>
              <w:top w:val="nil"/>
              <w:left w:val="nil"/>
              <w:bottom w:val="single" w:sz="4" w:space="0" w:color="auto"/>
              <w:right w:val="single" w:sz="4" w:space="0" w:color="auto"/>
            </w:tcBorders>
            <w:shd w:val="clear" w:color="auto" w:fill="auto"/>
            <w:noWrap/>
            <w:vAlign w:val="center"/>
            <w:hideMark/>
          </w:tcPr>
          <w:p w14:paraId="6B533A22" w14:textId="77777777" w:rsidR="0032335C" w:rsidRPr="00C63A39" w:rsidRDefault="0032335C" w:rsidP="0032335C">
            <w:pPr>
              <w:jc w:val="right"/>
              <w:rPr>
                <w:b/>
                <w:bCs/>
                <w:color w:val="000000"/>
                <w:kern w:val="22"/>
                <w:szCs w:val="22"/>
                <w:lang w:val="fr-FR" w:eastAsia="en-CA"/>
              </w:rPr>
            </w:pPr>
            <w:r w:rsidRPr="00C63A39">
              <w:rPr>
                <w:b/>
                <w:bCs/>
                <w:color w:val="000000"/>
                <w:kern w:val="22"/>
                <w:szCs w:val="22"/>
                <w:lang w:val="fr-FR" w:eastAsia="en-CA"/>
              </w:rPr>
              <w:t xml:space="preserve">100.000 </w:t>
            </w:r>
          </w:p>
        </w:tc>
        <w:tc>
          <w:tcPr>
            <w:tcW w:w="1540" w:type="dxa"/>
            <w:tcBorders>
              <w:top w:val="nil"/>
              <w:left w:val="nil"/>
              <w:bottom w:val="single" w:sz="4" w:space="0" w:color="auto"/>
              <w:right w:val="single" w:sz="4" w:space="0" w:color="auto"/>
            </w:tcBorders>
            <w:shd w:val="clear" w:color="auto" w:fill="auto"/>
            <w:noWrap/>
            <w:vAlign w:val="center"/>
            <w:hideMark/>
          </w:tcPr>
          <w:p w14:paraId="72EA10DA" w14:textId="77777777" w:rsidR="0032335C" w:rsidRPr="00C63A39" w:rsidRDefault="0032335C" w:rsidP="0032335C">
            <w:pPr>
              <w:jc w:val="right"/>
              <w:rPr>
                <w:b/>
                <w:bCs/>
                <w:color w:val="000000"/>
                <w:kern w:val="22"/>
                <w:szCs w:val="22"/>
                <w:lang w:val="fr-FR" w:eastAsia="en-CA"/>
              </w:rPr>
            </w:pPr>
            <w:r w:rsidRPr="00C63A39">
              <w:rPr>
                <w:b/>
                <w:bCs/>
                <w:color w:val="000000"/>
                <w:kern w:val="22"/>
                <w:szCs w:val="22"/>
                <w:lang w:val="fr-FR" w:eastAsia="en-CA"/>
              </w:rPr>
              <w:t>2,311,300</w:t>
            </w:r>
          </w:p>
        </w:tc>
      </w:tr>
    </w:tbl>
    <w:p w14:paraId="0D0B7AFB" w14:textId="08DDF282" w:rsidR="001F110D" w:rsidRPr="00C63A39" w:rsidRDefault="001F110D" w:rsidP="0079737F">
      <w:pPr>
        <w:spacing w:after="160" w:line="259" w:lineRule="auto"/>
        <w:rPr>
          <w:rFonts w:eastAsiaTheme="minorEastAsia"/>
          <w:bCs/>
          <w:kern w:val="22"/>
          <w:szCs w:val="22"/>
          <w:lang w:val="fr-FR"/>
        </w:rPr>
      </w:pPr>
    </w:p>
    <w:p w14:paraId="45AD0F56" w14:textId="77777777" w:rsidR="001F110D" w:rsidRPr="00C63A39" w:rsidRDefault="001F110D">
      <w:pPr>
        <w:spacing w:after="160" w:line="259" w:lineRule="auto"/>
        <w:rPr>
          <w:rFonts w:eastAsiaTheme="minorEastAsia"/>
          <w:bCs/>
          <w:kern w:val="22"/>
          <w:szCs w:val="22"/>
          <w:lang w:val="fr-FR"/>
        </w:rPr>
      </w:pPr>
      <w:r w:rsidRPr="00C63A39">
        <w:rPr>
          <w:rFonts w:eastAsiaTheme="minorEastAsia"/>
          <w:bCs/>
          <w:kern w:val="22"/>
          <w:szCs w:val="22"/>
          <w:lang w:val="fr-FR"/>
        </w:rPr>
        <w:br w:type="page"/>
      </w:r>
    </w:p>
    <w:p w14:paraId="026C3207" w14:textId="5247A5BF" w:rsidR="00C63A39" w:rsidRDefault="0079737F" w:rsidP="0079737F">
      <w:pPr>
        <w:autoSpaceDE w:val="0"/>
        <w:autoSpaceDN w:val="0"/>
        <w:adjustRightInd w:val="0"/>
        <w:rPr>
          <w:rFonts w:eastAsiaTheme="minorEastAsia"/>
          <w:bCs/>
          <w:kern w:val="22"/>
          <w:szCs w:val="22"/>
          <w:lang w:val="fr-FR"/>
        </w:rPr>
      </w:pPr>
      <w:r w:rsidRPr="00C63A39">
        <w:rPr>
          <w:rFonts w:eastAsiaTheme="minorEastAsia"/>
          <w:b/>
          <w:kern w:val="22"/>
          <w:szCs w:val="22"/>
          <w:lang w:val="fr-FR"/>
        </w:rPr>
        <w:lastRenderedPageBreak/>
        <w:t>Table</w:t>
      </w:r>
      <w:r w:rsidR="00C63A39">
        <w:rPr>
          <w:rFonts w:eastAsiaTheme="minorEastAsia"/>
          <w:b/>
          <w:kern w:val="22"/>
          <w:szCs w:val="22"/>
          <w:lang w:val="fr-FR"/>
        </w:rPr>
        <w:t>au 9</w:t>
      </w:r>
    </w:p>
    <w:p w14:paraId="4532B380" w14:textId="3A29DB6E" w:rsidR="008A687D" w:rsidRPr="00C63A39" w:rsidRDefault="0079737F" w:rsidP="0079737F">
      <w:pPr>
        <w:spacing w:after="160" w:line="259" w:lineRule="auto"/>
        <w:rPr>
          <w:b/>
          <w:color w:val="000000" w:themeColor="text1"/>
          <w:kern w:val="22"/>
          <w:szCs w:val="22"/>
          <w:lang w:val="fr-FR"/>
        </w:rPr>
      </w:pPr>
      <w:r w:rsidRPr="00C63A39">
        <w:rPr>
          <w:rFonts w:eastAsiaTheme="minorEastAsia"/>
          <w:b/>
          <w:kern w:val="22"/>
          <w:szCs w:val="22"/>
          <w:lang w:val="fr-FR"/>
        </w:rPr>
        <w:t>Contributions</w:t>
      </w:r>
      <w:r w:rsidR="00C63A39">
        <w:rPr>
          <w:rFonts w:eastAsiaTheme="minorEastAsia"/>
          <w:b/>
          <w:kern w:val="22"/>
          <w:szCs w:val="22"/>
          <w:lang w:val="fr-FR"/>
        </w:rPr>
        <w:t xml:space="preserve"> </w:t>
      </w:r>
      <w:r w:rsidR="001C157D">
        <w:rPr>
          <w:rFonts w:eastAsiaTheme="minorEastAsia"/>
          <w:b/>
          <w:kern w:val="22"/>
          <w:szCs w:val="22"/>
          <w:lang w:val="fr-FR"/>
        </w:rPr>
        <w:t>au</w:t>
      </w:r>
      <w:r w:rsidR="00C63A39">
        <w:rPr>
          <w:rFonts w:eastAsiaTheme="minorEastAsia"/>
          <w:b/>
          <w:kern w:val="22"/>
          <w:szCs w:val="22"/>
          <w:lang w:val="fr-FR"/>
        </w:rPr>
        <w:t xml:space="preserve"> fonds d’affectation spéciale pour le Protocole de Nagoya sur l’accès et le partage des avantages </w:t>
      </w:r>
      <w:r w:rsidR="00D771F0">
        <w:rPr>
          <w:rFonts w:eastAsiaTheme="minorEastAsia"/>
          <w:b/>
          <w:kern w:val="22"/>
          <w:szCs w:val="22"/>
          <w:lang w:val="fr-FR"/>
        </w:rPr>
        <w:t>pour 2021</w:t>
      </w:r>
    </w:p>
    <w:tbl>
      <w:tblPr>
        <w:tblW w:w="9420" w:type="dxa"/>
        <w:tblLook w:val="04A0" w:firstRow="1" w:lastRow="0" w:firstColumn="1" w:lastColumn="0" w:noHBand="0" w:noVBand="1"/>
      </w:tblPr>
      <w:tblGrid>
        <w:gridCol w:w="4800"/>
        <w:gridCol w:w="1540"/>
        <w:gridCol w:w="1540"/>
        <w:gridCol w:w="1540"/>
      </w:tblGrid>
      <w:tr w:rsidR="005F7E95" w:rsidRPr="00C63A39" w14:paraId="7B0A7F86" w14:textId="77777777" w:rsidTr="00315701">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E1CF39" w14:textId="538481FC" w:rsidR="005F7E95" w:rsidRPr="00C63A39" w:rsidRDefault="005F7E95" w:rsidP="005F7E95">
            <w:pPr>
              <w:jc w:val="center"/>
              <w:rPr>
                <w:b/>
                <w:bCs/>
                <w:kern w:val="22"/>
                <w:szCs w:val="22"/>
                <w:lang w:val="fr-FR" w:eastAsia="en-CA"/>
              </w:rPr>
            </w:pPr>
            <w:r w:rsidRPr="00C63A39">
              <w:rPr>
                <w:b/>
                <w:bCs/>
                <w:kern w:val="22"/>
                <w:szCs w:val="22"/>
                <w:lang w:val="fr-FR" w:eastAsia="en-CA"/>
              </w:rPr>
              <w:t>Partie</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77D79CCA" w14:textId="2460C1A8" w:rsidR="005F7E95" w:rsidRPr="00C63A39" w:rsidRDefault="005F7E95" w:rsidP="005F7E95">
            <w:pPr>
              <w:jc w:val="center"/>
              <w:rPr>
                <w:b/>
                <w:bCs/>
                <w:color w:val="000000"/>
                <w:kern w:val="22"/>
                <w:szCs w:val="22"/>
                <w:lang w:val="fr-FR" w:eastAsia="en-CA"/>
              </w:rPr>
            </w:pPr>
            <w:r w:rsidRPr="00C63A39">
              <w:rPr>
                <w:b/>
                <w:bCs/>
                <w:color w:val="000000"/>
                <w:kern w:val="22"/>
                <w:szCs w:val="22"/>
                <w:lang w:val="fr-FR" w:eastAsia="en-CA"/>
              </w:rPr>
              <w:t xml:space="preserve">Barème des quotes-parts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25A6DE7B" w14:textId="18518AF7" w:rsidR="005F7E95" w:rsidRPr="00C63A39" w:rsidRDefault="005F7E95" w:rsidP="005F7E95">
            <w:pPr>
              <w:jc w:val="center"/>
              <w:rPr>
                <w:b/>
                <w:bCs/>
                <w:color w:val="000000"/>
                <w:kern w:val="22"/>
                <w:szCs w:val="22"/>
                <w:lang w:val="fr-FR" w:eastAsia="en-CA"/>
              </w:rPr>
            </w:pPr>
            <w:r w:rsidRPr="00C63A39">
              <w:rPr>
                <w:b/>
                <w:bCs/>
                <w:color w:val="000000"/>
                <w:kern w:val="22"/>
                <w:szCs w:val="22"/>
                <w:lang w:val="fr-FR" w:eastAsia="en-CA"/>
              </w:rPr>
              <w:t>Barème assorti d’un plafond de 22% ; aucun PMA ne paie plus de 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0DB1DA25" w14:textId="791C96F2" w:rsidR="005F7E95" w:rsidRPr="00C63A39" w:rsidRDefault="005F7E95" w:rsidP="005F7E95">
            <w:pPr>
              <w:jc w:val="center"/>
              <w:rPr>
                <w:b/>
                <w:bCs/>
                <w:color w:val="000000"/>
                <w:kern w:val="22"/>
                <w:szCs w:val="22"/>
                <w:lang w:val="fr-FR" w:eastAsia="en-CA"/>
              </w:rPr>
            </w:pPr>
            <w:r w:rsidRPr="00C63A39">
              <w:rPr>
                <w:b/>
                <w:bCs/>
                <w:color w:val="000000"/>
                <w:kern w:val="22"/>
                <w:szCs w:val="22"/>
                <w:lang w:val="fr-FR" w:eastAsia="en-CA"/>
              </w:rPr>
              <w:t>Contributions au 1er janvier 2020</w:t>
            </w:r>
          </w:p>
        </w:tc>
      </w:tr>
      <w:tr w:rsidR="0032335C" w:rsidRPr="00C63A39" w14:paraId="04DE599A"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5CCB3FD3" w14:textId="3369208B" w:rsidR="0032335C" w:rsidRPr="00C63A39" w:rsidRDefault="0032335C" w:rsidP="0032335C">
            <w:pPr>
              <w:rPr>
                <w:kern w:val="22"/>
                <w:szCs w:val="22"/>
                <w:lang w:val="fr-FR" w:eastAsia="en-CA"/>
              </w:rPr>
            </w:pPr>
            <w:r w:rsidRPr="00C63A39">
              <w:rPr>
                <w:szCs w:val="22"/>
                <w:lang w:val="fr-FR"/>
              </w:rPr>
              <w:t>Afghanistan</w:t>
            </w:r>
          </w:p>
        </w:tc>
        <w:tc>
          <w:tcPr>
            <w:tcW w:w="1540" w:type="dxa"/>
            <w:tcBorders>
              <w:top w:val="nil"/>
              <w:left w:val="nil"/>
              <w:bottom w:val="single" w:sz="4" w:space="0" w:color="auto"/>
              <w:right w:val="single" w:sz="4" w:space="0" w:color="auto"/>
            </w:tcBorders>
            <w:shd w:val="clear" w:color="auto" w:fill="auto"/>
            <w:vAlign w:val="center"/>
            <w:hideMark/>
          </w:tcPr>
          <w:p w14:paraId="7C5C5D23"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14:paraId="7E6DFF99"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0.012 </w:t>
            </w:r>
          </w:p>
        </w:tc>
        <w:tc>
          <w:tcPr>
            <w:tcW w:w="1540" w:type="dxa"/>
            <w:tcBorders>
              <w:top w:val="nil"/>
              <w:left w:val="nil"/>
              <w:bottom w:val="single" w:sz="4" w:space="0" w:color="auto"/>
              <w:right w:val="single" w:sz="4" w:space="0" w:color="auto"/>
            </w:tcBorders>
            <w:shd w:val="clear" w:color="auto" w:fill="auto"/>
            <w:noWrap/>
            <w:vAlign w:val="center"/>
            <w:hideMark/>
          </w:tcPr>
          <w:p w14:paraId="5CF38266"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205</w:t>
            </w:r>
          </w:p>
        </w:tc>
      </w:tr>
      <w:tr w:rsidR="0032335C" w:rsidRPr="00C63A39" w14:paraId="0282A121"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6120148D" w14:textId="4E266401" w:rsidR="0032335C" w:rsidRPr="00C63A39" w:rsidRDefault="0032335C" w:rsidP="0032335C">
            <w:pPr>
              <w:rPr>
                <w:color w:val="000000"/>
                <w:kern w:val="22"/>
                <w:szCs w:val="22"/>
                <w:lang w:val="fr-FR" w:eastAsia="en-CA"/>
              </w:rPr>
            </w:pPr>
            <w:r w:rsidRPr="00C63A39">
              <w:rPr>
                <w:szCs w:val="22"/>
                <w:lang w:val="fr-FR"/>
              </w:rPr>
              <w:t xml:space="preserve">Albanie </w:t>
            </w:r>
          </w:p>
        </w:tc>
        <w:tc>
          <w:tcPr>
            <w:tcW w:w="1540" w:type="dxa"/>
            <w:tcBorders>
              <w:top w:val="nil"/>
              <w:left w:val="nil"/>
              <w:bottom w:val="single" w:sz="4" w:space="0" w:color="auto"/>
              <w:right w:val="single" w:sz="4" w:space="0" w:color="auto"/>
            </w:tcBorders>
            <w:shd w:val="clear" w:color="auto" w:fill="auto"/>
            <w:vAlign w:val="center"/>
            <w:hideMark/>
          </w:tcPr>
          <w:p w14:paraId="26C15A7D"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0.008 </w:t>
            </w:r>
          </w:p>
        </w:tc>
        <w:tc>
          <w:tcPr>
            <w:tcW w:w="1540" w:type="dxa"/>
            <w:tcBorders>
              <w:top w:val="nil"/>
              <w:left w:val="nil"/>
              <w:bottom w:val="single" w:sz="4" w:space="0" w:color="auto"/>
              <w:right w:val="single" w:sz="4" w:space="0" w:color="auto"/>
            </w:tcBorders>
            <w:shd w:val="clear" w:color="auto" w:fill="auto"/>
            <w:noWrap/>
            <w:vAlign w:val="center"/>
            <w:hideMark/>
          </w:tcPr>
          <w:p w14:paraId="62B92B26"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0.014 </w:t>
            </w:r>
          </w:p>
        </w:tc>
        <w:tc>
          <w:tcPr>
            <w:tcW w:w="1540" w:type="dxa"/>
            <w:tcBorders>
              <w:top w:val="nil"/>
              <w:left w:val="nil"/>
              <w:bottom w:val="single" w:sz="4" w:space="0" w:color="auto"/>
              <w:right w:val="single" w:sz="4" w:space="0" w:color="auto"/>
            </w:tcBorders>
            <w:shd w:val="clear" w:color="auto" w:fill="auto"/>
            <w:noWrap/>
            <w:vAlign w:val="center"/>
            <w:hideMark/>
          </w:tcPr>
          <w:p w14:paraId="74B9446B"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234</w:t>
            </w:r>
          </w:p>
        </w:tc>
      </w:tr>
      <w:tr w:rsidR="0032335C" w:rsidRPr="00C63A39" w14:paraId="57DC22AA"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686C23F6" w14:textId="2BC92BF2" w:rsidR="0032335C" w:rsidRPr="00C63A39" w:rsidRDefault="0032335C" w:rsidP="0032335C">
            <w:pPr>
              <w:rPr>
                <w:kern w:val="22"/>
                <w:szCs w:val="22"/>
                <w:lang w:val="fr-FR" w:eastAsia="en-CA"/>
              </w:rPr>
            </w:pPr>
            <w:r w:rsidRPr="00C63A39">
              <w:rPr>
                <w:szCs w:val="22"/>
                <w:lang w:val="fr-FR"/>
              </w:rPr>
              <w:t>Angola</w:t>
            </w:r>
          </w:p>
        </w:tc>
        <w:tc>
          <w:tcPr>
            <w:tcW w:w="1540" w:type="dxa"/>
            <w:tcBorders>
              <w:top w:val="nil"/>
              <w:left w:val="nil"/>
              <w:bottom w:val="single" w:sz="4" w:space="0" w:color="auto"/>
              <w:right w:val="single" w:sz="4" w:space="0" w:color="auto"/>
            </w:tcBorders>
            <w:shd w:val="clear" w:color="auto" w:fill="auto"/>
            <w:vAlign w:val="center"/>
            <w:hideMark/>
          </w:tcPr>
          <w:p w14:paraId="17AC7E52"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4F76D420"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1CB49C47"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170</w:t>
            </w:r>
          </w:p>
        </w:tc>
      </w:tr>
      <w:tr w:rsidR="0032335C" w:rsidRPr="00C63A39" w14:paraId="03B729B0"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332AA98D" w14:textId="3DCAEEC6" w:rsidR="0032335C" w:rsidRPr="00C63A39" w:rsidRDefault="0032335C" w:rsidP="0032335C">
            <w:pPr>
              <w:rPr>
                <w:kern w:val="22"/>
                <w:szCs w:val="22"/>
                <w:lang w:val="fr-FR" w:eastAsia="en-CA"/>
              </w:rPr>
            </w:pPr>
            <w:r w:rsidRPr="00C63A39">
              <w:rPr>
                <w:szCs w:val="22"/>
                <w:lang w:val="fr-FR"/>
              </w:rPr>
              <w:t>Antigua-et-Barbuda</w:t>
            </w:r>
          </w:p>
        </w:tc>
        <w:tc>
          <w:tcPr>
            <w:tcW w:w="1540" w:type="dxa"/>
            <w:tcBorders>
              <w:top w:val="nil"/>
              <w:left w:val="nil"/>
              <w:bottom w:val="single" w:sz="4" w:space="0" w:color="auto"/>
              <w:right w:val="single" w:sz="4" w:space="0" w:color="auto"/>
            </w:tcBorders>
            <w:shd w:val="clear" w:color="auto" w:fill="auto"/>
            <w:vAlign w:val="center"/>
            <w:hideMark/>
          </w:tcPr>
          <w:p w14:paraId="06B75F3E"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43CD78E8"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3CA43CA4"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58</w:t>
            </w:r>
          </w:p>
        </w:tc>
      </w:tr>
      <w:tr w:rsidR="0032335C" w:rsidRPr="00C63A39" w14:paraId="2A038E74"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24C6EAB4" w14:textId="2FBC1961" w:rsidR="0032335C" w:rsidRPr="00C63A39" w:rsidRDefault="0032335C" w:rsidP="0032335C">
            <w:pPr>
              <w:rPr>
                <w:kern w:val="22"/>
                <w:szCs w:val="22"/>
                <w:lang w:val="fr-FR" w:eastAsia="en-CA"/>
              </w:rPr>
            </w:pPr>
            <w:r w:rsidRPr="00C63A39">
              <w:rPr>
                <w:szCs w:val="22"/>
                <w:lang w:val="fr-FR"/>
              </w:rPr>
              <w:t>Argentine</w:t>
            </w:r>
          </w:p>
        </w:tc>
        <w:tc>
          <w:tcPr>
            <w:tcW w:w="1540" w:type="dxa"/>
            <w:tcBorders>
              <w:top w:val="nil"/>
              <w:left w:val="nil"/>
              <w:bottom w:val="single" w:sz="4" w:space="0" w:color="auto"/>
              <w:right w:val="single" w:sz="4" w:space="0" w:color="auto"/>
            </w:tcBorders>
            <w:shd w:val="clear" w:color="auto" w:fill="auto"/>
            <w:vAlign w:val="center"/>
            <w:hideMark/>
          </w:tcPr>
          <w:p w14:paraId="7E26C3D8"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0.915 </w:t>
            </w:r>
          </w:p>
        </w:tc>
        <w:tc>
          <w:tcPr>
            <w:tcW w:w="1540" w:type="dxa"/>
            <w:tcBorders>
              <w:top w:val="nil"/>
              <w:left w:val="nil"/>
              <w:bottom w:val="single" w:sz="4" w:space="0" w:color="auto"/>
              <w:right w:val="single" w:sz="4" w:space="0" w:color="auto"/>
            </w:tcBorders>
            <w:shd w:val="clear" w:color="auto" w:fill="auto"/>
            <w:noWrap/>
            <w:vAlign w:val="center"/>
            <w:hideMark/>
          </w:tcPr>
          <w:p w14:paraId="3034281C"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1.579 </w:t>
            </w:r>
          </w:p>
        </w:tc>
        <w:tc>
          <w:tcPr>
            <w:tcW w:w="1540" w:type="dxa"/>
            <w:tcBorders>
              <w:top w:val="nil"/>
              <w:left w:val="nil"/>
              <w:bottom w:val="single" w:sz="4" w:space="0" w:color="auto"/>
              <w:right w:val="single" w:sz="4" w:space="0" w:color="auto"/>
            </w:tcBorders>
            <w:shd w:val="clear" w:color="auto" w:fill="auto"/>
            <w:noWrap/>
            <w:vAlign w:val="center"/>
            <w:hideMark/>
          </w:tcPr>
          <w:p w14:paraId="5BF390B6"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26,758</w:t>
            </w:r>
          </w:p>
        </w:tc>
      </w:tr>
      <w:tr w:rsidR="0032335C" w:rsidRPr="00C63A39" w14:paraId="30DFC59D"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657CC70A" w14:textId="0432B071" w:rsidR="0032335C" w:rsidRPr="00C63A39" w:rsidRDefault="0032335C" w:rsidP="0032335C">
            <w:pPr>
              <w:rPr>
                <w:kern w:val="22"/>
                <w:szCs w:val="22"/>
                <w:lang w:val="fr-FR" w:eastAsia="en-CA"/>
              </w:rPr>
            </w:pPr>
            <w:r w:rsidRPr="00C63A39">
              <w:rPr>
                <w:szCs w:val="22"/>
                <w:lang w:val="fr-FR"/>
              </w:rPr>
              <w:t>Autriche</w:t>
            </w:r>
          </w:p>
        </w:tc>
        <w:tc>
          <w:tcPr>
            <w:tcW w:w="1540" w:type="dxa"/>
            <w:tcBorders>
              <w:top w:val="nil"/>
              <w:left w:val="nil"/>
              <w:bottom w:val="single" w:sz="4" w:space="0" w:color="auto"/>
              <w:right w:val="single" w:sz="4" w:space="0" w:color="auto"/>
            </w:tcBorders>
            <w:shd w:val="clear" w:color="auto" w:fill="auto"/>
            <w:vAlign w:val="center"/>
            <w:hideMark/>
          </w:tcPr>
          <w:p w14:paraId="7EECAEBC"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0.677 </w:t>
            </w:r>
          </w:p>
        </w:tc>
        <w:tc>
          <w:tcPr>
            <w:tcW w:w="1540" w:type="dxa"/>
            <w:tcBorders>
              <w:top w:val="nil"/>
              <w:left w:val="nil"/>
              <w:bottom w:val="single" w:sz="4" w:space="0" w:color="auto"/>
              <w:right w:val="single" w:sz="4" w:space="0" w:color="auto"/>
            </w:tcBorders>
            <w:shd w:val="clear" w:color="auto" w:fill="auto"/>
            <w:noWrap/>
            <w:vAlign w:val="center"/>
            <w:hideMark/>
          </w:tcPr>
          <w:p w14:paraId="58F855E9"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1.168 </w:t>
            </w:r>
          </w:p>
        </w:tc>
        <w:tc>
          <w:tcPr>
            <w:tcW w:w="1540" w:type="dxa"/>
            <w:tcBorders>
              <w:top w:val="nil"/>
              <w:left w:val="nil"/>
              <w:bottom w:val="single" w:sz="4" w:space="0" w:color="auto"/>
              <w:right w:val="single" w:sz="4" w:space="0" w:color="auto"/>
            </w:tcBorders>
            <w:shd w:val="clear" w:color="auto" w:fill="auto"/>
            <w:noWrap/>
            <w:vAlign w:val="center"/>
            <w:hideMark/>
          </w:tcPr>
          <w:p w14:paraId="4A04AFF9"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19,798</w:t>
            </w:r>
          </w:p>
        </w:tc>
      </w:tr>
      <w:tr w:rsidR="0032335C" w:rsidRPr="00C63A39" w14:paraId="4583E6D9"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13ACEFEE" w14:textId="63EF083A" w:rsidR="0032335C" w:rsidRPr="00C63A39" w:rsidRDefault="0032335C" w:rsidP="0032335C">
            <w:pPr>
              <w:rPr>
                <w:kern w:val="22"/>
                <w:szCs w:val="22"/>
                <w:lang w:val="fr-FR" w:eastAsia="en-CA"/>
              </w:rPr>
            </w:pPr>
            <w:r w:rsidRPr="00C63A39">
              <w:rPr>
                <w:szCs w:val="22"/>
                <w:lang w:val="fr-FR"/>
              </w:rPr>
              <w:t>Biélorussie</w:t>
            </w:r>
          </w:p>
        </w:tc>
        <w:tc>
          <w:tcPr>
            <w:tcW w:w="1540" w:type="dxa"/>
            <w:tcBorders>
              <w:top w:val="nil"/>
              <w:left w:val="nil"/>
              <w:bottom w:val="single" w:sz="4" w:space="0" w:color="auto"/>
              <w:right w:val="single" w:sz="4" w:space="0" w:color="auto"/>
            </w:tcBorders>
            <w:shd w:val="clear" w:color="auto" w:fill="auto"/>
            <w:vAlign w:val="center"/>
            <w:hideMark/>
          </w:tcPr>
          <w:p w14:paraId="6C7D3368"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0.049 </w:t>
            </w:r>
          </w:p>
        </w:tc>
        <w:tc>
          <w:tcPr>
            <w:tcW w:w="1540" w:type="dxa"/>
            <w:tcBorders>
              <w:top w:val="nil"/>
              <w:left w:val="nil"/>
              <w:bottom w:val="single" w:sz="4" w:space="0" w:color="auto"/>
              <w:right w:val="single" w:sz="4" w:space="0" w:color="auto"/>
            </w:tcBorders>
            <w:shd w:val="clear" w:color="auto" w:fill="auto"/>
            <w:noWrap/>
            <w:vAlign w:val="center"/>
            <w:hideMark/>
          </w:tcPr>
          <w:p w14:paraId="1A2A1498"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0.085 </w:t>
            </w:r>
          </w:p>
        </w:tc>
        <w:tc>
          <w:tcPr>
            <w:tcW w:w="1540" w:type="dxa"/>
            <w:tcBorders>
              <w:top w:val="nil"/>
              <w:left w:val="nil"/>
              <w:bottom w:val="single" w:sz="4" w:space="0" w:color="auto"/>
              <w:right w:val="single" w:sz="4" w:space="0" w:color="auto"/>
            </w:tcBorders>
            <w:shd w:val="clear" w:color="auto" w:fill="auto"/>
            <w:noWrap/>
            <w:vAlign w:val="center"/>
            <w:hideMark/>
          </w:tcPr>
          <w:p w14:paraId="5B64CFC7"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1,433</w:t>
            </w:r>
          </w:p>
        </w:tc>
      </w:tr>
      <w:tr w:rsidR="0032335C" w:rsidRPr="00C63A39" w14:paraId="7C8F6AD7"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703BFFB3" w14:textId="1194A6F3" w:rsidR="0032335C" w:rsidRPr="00C63A39" w:rsidRDefault="0032335C" w:rsidP="0032335C">
            <w:pPr>
              <w:rPr>
                <w:kern w:val="22"/>
                <w:szCs w:val="22"/>
                <w:lang w:val="fr-FR" w:eastAsia="en-CA"/>
              </w:rPr>
            </w:pPr>
            <w:r w:rsidRPr="00C63A39">
              <w:rPr>
                <w:szCs w:val="22"/>
                <w:lang w:val="fr-FR"/>
              </w:rPr>
              <w:t>Belgique</w:t>
            </w:r>
          </w:p>
        </w:tc>
        <w:tc>
          <w:tcPr>
            <w:tcW w:w="1540" w:type="dxa"/>
            <w:tcBorders>
              <w:top w:val="nil"/>
              <w:left w:val="nil"/>
              <w:bottom w:val="single" w:sz="4" w:space="0" w:color="auto"/>
              <w:right w:val="single" w:sz="4" w:space="0" w:color="auto"/>
            </w:tcBorders>
            <w:shd w:val="clear" w:color="auto" w:fill="auto"/>
            <w:vAlign w:val="center"/>
            <w:hideMark/>
          </w:tcPr>
          <w:p w14:paraId="48CD734F"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0.821 </w:t>
            </w:r>
          </w:p>
        </w:tc>
        <w:tc>
          <w:tcPr>
            <w:tcW w:w="1540" w:type="dxa"/>
            <w:tcBorders>
              <w:top w:val="nil"/>
              <w:left w:val="nil"/>
              <w:bottom w:val="single" w:sz="4" w:space="0" w:color="auto"/>
              <w:right w:val="single" w:sz="4" w:space="0" w:color="auto"/>
            </w:tcBorders>
            <w:shd w:val="clear" w:color="auto" w:fill="auto"/>
            <w:noWrap/>
            <w:vAlign w:val="center"/>
            <w:hideMark/>
          </w:tcPr>
          <w:p w14:paraId="0CCD6C27"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1.416 </w:t>
            </w:r>
          </w:p>
        </w:tc>
        <w:tc>
          <w:tcPr>
            <w:tcW w:w="1540" w:type="dxa"/>
            <w:tcBorders>
              <w:top w:val="nil"/>
              <w:left w:val="nil"/>
              <w:bottom w:val="single" w:sz="4" w:space="0" w:color="auto"/>
              <w:right w:val="single" w:sz="4" w:space="0" w:color="auto"/>
            </w:tcBorders>
            <w:shd w:val="clear" w:color="auto" w:fill="auto"/>
            <w:noWrap/>
            <w:vAlign w:val="center"/>
            <w:hideMark/>
          </w:tcPr>
          <w:p w14:paraId="3FBACE76"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24,009</w:t>
            </w:r>
          </w:p>
        </w:tc>
      </w:tr>
      <w:tr w:rsidR="0032335C" w:rsidRPr="00C63A39" w14:paraId="1C65A529"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2502C27A" w14:textId="2E990582" w:rsidR="0032335C" w:rsidRPr="00C63A39" w:rsidRDefault="0032335C" w:rsidP="0032335C">
            <w:pPr>
              <w:rPr>
                <w:kern w:val="22"/>
                <w:szCs w:val="22"/>
                <w:lang w:val="fr-FR" w:eastAsia="en-CA"/>
              </w:rPr>
            </w:pPr>
            <w:r w:rsidRPr="00C63A39">
              <w:rPr>
                <w:szCs w:val="22"/>
                <w:lang w:val="fr-FR"/>
              </w:rPr>
              <w:t>Bénin</w:t>
            </w:r>
          </w:p>
        </w:tc>
        <w:tc>
          <w:tcPr>
            <w:tcW w:w="1540" w:type="dxa"/>
            <w:tcBorders>
              <w:top w:val="nil"/>
              <w:left w:val="nil"/>
              <w:bottom w:val="single" w:sz="4" w:space="0" w:color="auto"/>
              <w:right w:val="single" w:sz="4" w:space="0" w:color="auto"/>
            </w:tcBorders>
            <w:shd w:val="clear" w:color="auto" w:fill="auto"/>
            <w:vAlign w:val="center"/>
            <w:hideMark/>
          </w:tcPr>
          <w:p w14:paraId="75EB8C46"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68713DFB"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14:paraId="5B63BD65"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88</w:t>
            </w:r>
          </w:p>
        </w:tc>
      </w:tr>
      <w:tr w:rsidR="0032335C" w:rsidRPr="00C63A39" w14:paraId="70E93DAC"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027DC4BB" w14:textId="0A4282DF" w:rsidR="0032335C" w:rsidRPr="00C63A39" w:rsidRDefault="0032335C" w:rsidP="0032335C">
            <w:pPr>
              <w:rPr>
                <w:kern w:val="22"/>
                <w:szCs w:val="22"/>
                <w:lang w:val="fr-FR" w:eastAsia="en-CA"/>
              </w:rPr>
            </w:pPr>
            <w:r w:rsidRPr="00C63A39">
              <w:rPr>
                <w:szCs w:val="22"/>
                <w:lang w:val="fr-FR"/>
              </w:rPr>
              <w:t>Bhoutan</w:t>
            </w:r>
          </w:p>
        </w:tc>
        <w:tc>
          <w:tcPr>
            <w:tcW w:w="1540" w:type="dxa"/>
            <w:tcBorders>
              <w:top w:val="nil"/>
              <w:left w:val="nil"/>
              <w:bottom w:val="single" w:sz="4" w:space="0" w:color="auto"/>
              <w:right w:val="single" w:sz="4" w:space="0" w:color="auto"/>
            </w:tcBorders>
            <w:shd w:val="clear" w:color="auto" w:fill="auto"/>
            <w:vAlign w:val="center"/>
            <w:hideMark/>
          </w:tcPr>
          <w:p w14:paraId="2DF0DB34"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0C162640"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48C60CE3"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29</w:t>
            </w:r>
          </w:p>
        </w:tc>
      </w:tr>
      <w:tr w:rsidR="0032335C" w:rsidRPr="00C63A39" w14:paraId="58624A35"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3EEFEE30" w14:textId="7A277DD6" w:rsidR="0032335C" w:rsidRPr="00C63A39" w:rsidRDefault="0032335C" w:rsidP="0032335C">
            <w:pPr>
              <w:rPr>
                <w:kern w:val="22"/>
                <w:szCs w:val="22"/>
                <w:lang w:val="fr-FR" w:eastAsia="en-CA"/>
              </w:rPr>
            </w:pPr>
            <w:r w:rsidRPr="00C63A39">
              <w:rPr>
                <w:szCs w:val="22"/>
                <w:lang w:val="fr-FR"/>
              </w:rPr>
              <w:t>Bolivie (État plurinational de)</w:t>
            </w:r>
          </w:p>
        </w:tc>
        <w:tc>
          <w:tcPr>
            <w:tcW w:w="1540" w:type="dxa"/>
            <w:tcBorders>
              <w:top w:val="nil"/>
              <w:left w:val="nil"/>
              <w:bottom w:val="single" w:sz="4" w:space="0" w:color="auto"/>
              <w:right w:val="single" w:sz="4" w:space="0" w:color="auto"/>
            </w:tcBorders>
            <w:shd w:val="clear" w:color="auto" w:fill="auto"/>
            <w:vAlign w:val="center"/>
            <w:hideMark/>
          </w:tcPr>
          <w:p w14:paraId="15918746"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0.016 </w:t>
            </w:r>
          </w:p>
        </w:tc>
        <w:tc>
          <w:tcPr>
            <w:tcW w:w="1540" w:type="dxa"/>
            <w:tcBorders>
              <w:top w:val="nil"/>
              <w:left w:val="nil"/>
              <w:bottom w:val="single" w:sz="4" w:space="0" w:color="auto"/>
              <w:right w:val="single" w:sz="4" w:space="0" w:color="auto"/>
            </w:tcBorders>
            <w:shd w:val="clear" w:color="auto" w:fill="auto"/>
            <w:noWrap/>
            <w:vAlign w:val="center"/>
            <w:hideMark/>
          </w:tcPr>
          <w:p w14:paraId="0AFF481F"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0.028 </w:t>
            </w:r>
          </w:p>
        </w:tc>
        <w:tc>
          <w:tcPr>
            <w:tcW w:w="1540" w:type="dxa"/>
            <w:tcBorders>
              <w:top w:val="nil"/>
              <w:left w:val="nil"/>
              <w:bottom w:val="single" w:sz="4" w:space="0" w:color="auto"/>
              <w:right w:val="single" w:sz="4" w:space="0" w:color="auto"/>
            </w:tcBorders>
            <w:shd w:val="clear" w:color="auto" w:fill="auto"/>
            <w:noWrap/>
            <w:vAlign w:val="center"/>
            <w:hideMark/>
          </w:tcPr>
          <w:p w14:paraId="7E7E8FDF"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468</w:t>
            </w:r>
          </w:p>
        </w:tc>
      </w:tr>
      <w:tr w:rsidR="0032335C" w:rsidRPr="00C63A39" w14:paraId="6B57C9E7"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4DC5B82F" w14:textId="7E382978" w:rsidR="0032335C" w:rsidRPr="00C63A39" w:rsidRDefault="0032335C" w:rsidP="0032335C">
            <w:pPr>
              <w:rPr>
                <w:kern w:val="22"/>
                <w:szCs w:val="22"/>
                <w:lang w:val="fr-FR" w:eastAsia="en-CA"/>
              </w:rPr>
            </w:pPr>
            <w:r w:rsidRPr="00C63A39">
              <w:rPr>
                <w:szCs w:val="22"/>
                <w:lang w:val="fr-FR"/>
              </w:rPr>
              <w:t>Botswana</w:t>
            </w:r>
          </w:p>
        </w:tc>
        <w:tc>
          <w:tcPr>
            <w:tcW w:w="1540" w:type="dxa"/>
            <w:tcBorders>
              <w:top w:val="nil"/>
              <w:left w:val="nil"/>
              <w:bottom w:val="single" w:sz="4" w:space="0" w:color="auto"/>
              <w:right w:val="single" w:sz="4" w:space="0" w:color="auto"/>
            </w:tcBorders>
            <w:shd w:val="clear" w:color="auto" w:fill="auto"/>
            <w:vAlign w:val="center"/>
            <w:hideMark/>
          </w:tcPr>
          <w:p w14:paraId="3537B040"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0.014 </w:t>
            </w:r>
          </w:p>
        </w:tc>
        <w:tc>
          <w:tcPr>
            <w:tcW w:w="1540" w:type="dxa"/>
            <w:tcBorders>
              <w:top w:val="nil"/>
              <w:left w:val="nil"/>
              <w:bottom w:val="single" w:sz="4" w:space="0" w:color="auto"/>
              <w:right w:val="single" w:sz="4" w:space="0" w:color="auto"/>
            </w:tcBorders>
            <w:shd w:val="clear" w:color="auto" w:fill="auto"/>
            <w:noWrap/>
            <w:vAlign w:val="center"/>
            <w:hideMark/>
          </w:tcPr>
          <w:p w14:paraId="34716489"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0.024 </w:t>
            </w:r>
          </w:p>
        </w:tc>
        <w:tc>
          <w:tcPr>
            <w:tcW w:w="1540" w:type="dxa"/>
            <w:tcBorders>
              <w:top w:val="nil"/>
              <w:left w:val="nil"/>
              <w:bottom w:val="single" w:sz="4" w:space="0" w:color="auto"/>
              <w:right w:val="single" w:sz="4" w:space="0" w:color="auto"/>
            </w:tcBorders>
            <w:shd w:val="clear" w:color="auto" w:fill="auto"/>
            <w:noWrap/>
            <w:vAlign w:val="center"/>
            <w:hideMark/>
          </w:tcPr>
          <w:p w14:paraId="7D2ABB13"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409</w:t>
            </w:r>
          </w:p>
        </w:tc>
      </w:tr>
      <w:tr w:rsidR="0032335C" w:rsidRPr="00C63A39" w14:paraId="65717766"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21E98274" w14:textId="342BB961" w:rsidR="0032335C" w:rsidRPr="00C63A39" w:rsidRDefault="0032335C" w:rsidP="0032335C">
            <w:pPr>
              <w:rPr>
                <w:kern w:val="22"/>
                <w:szCs w:val="22"/>
                <w:lang w:val="fr-FR" w:eastAsia="en-CA"/>
              </w:rPr>
            </w:pPr>
            <w:r w:rsidRPr="00C63A39">
              <w:rPr>
                <w:szCs w:val="22"/>
                <w:lang w:val="fr-FR"/>
              </w:rPr>
              <w:t>Bulgarie</w:t>
            </w:r>
          </w:p>
        </w:tc>
        <w:tc>
          <w:tcPr>
            <w:tcW w:w="1540" w:type="dxa"/>
            <w:tcBorders>
              <w:top w:val="nil"/>
              <w:left w:val="nil"/>
              <w:bottom w:val="single" w:sz="4" w:space="0" w:color="auto"/>
              <w:right w:val="single" w:sz="4" w:space="0" w:color="auto"/>
            </w:tcBorders>
            <w:shd w:val="clear" w:color="auto" w:fill="auto"/>
            <w:vAlign w:val="center"/>
            <w:hideMark/>
          </w:tcPr>
          <w:p w14:paraId="163E6666"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0.046 </w:t>
            </w:r>
          </w:p>
        </w:tc>
        <w:tc>
          <w:tcPr>
            <w:tcW w:w="1540" w:type="dxa"/>
            <w:tcBorders>
              <w:top w:val="nil"/>
              <w:left w:val="nil"/>
              <w:bottom w:val="single" w:sz="4" w:space="0" w:color="auto"/>
              <w:right w:val="single" w:sz="4" w:space="0" w:color="auto"/>
            </w:tcBorders>
            <w:shd w:val="clear" w:color="auto" w:fill="auto"/>
            <w:noWrap/>
            <w:vAlign w:val="center"/>
            <w:hideMark/>
          </w:tcPr>
          <w:p w14:paraId="72EB0AC1"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0.079 </w:t>
            </w:r>
          </w:p>
        </w:tc>
        <w:tc>
          <w:tcPr>
            <w:tcW w:w="1540" w:type="dxa"/>
            <w:tcBorders>
              <w:top w:val="nil"/>
              <w:left w:val="nil"/>
              <w:bottom w:val="single" w:sz="4" w:space="0" w:color="auto"/>
              <w:right w:val="single" w:sz="4" w:space="0" w:color="auto"/>
            </w:tcBorders>
            <w:shd w:val="clear" w:color="auto" w:fill="auto"/>
            <w:noWrap/>
            <w:vAlign w:val="center"/>
            <w:hideMark/>
          </w:tcPr>
          <w:p w14:paraId="3E0874B1"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1,345</w:t>
            </w:r>
          </w:p>
        </w:tc>
      </w:tr>
      <w:tr w:rsidR="0032335C" w:rsidRPr="00C63A39" w14:paraId="050D4C3E"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4CFE80BC" w14:textId="4933ADB9" w:rsidR="0032335C" w:rsidRPr="00C63A39" w:rsidRDefault="0032335C" w:rsidP="0032335C">
            <w:pPr>
              <w:rPr>
                <w:kern w:val="22"/>
                <w:szCs w:val="22"/>
                <w:lang w:val="fr-FR" w:eastAsia="en-CA"/>
              </w:rPr>
            </w:pPr>
            <w:r w:rsidRPr="00C63A39">
              <w:rPr>
                <w:szCs w:val="22"/>
                <w:lang w:val="fr-FR"/>
              </w:rPr>
              <w:t>Burkina Faso</w:t>
            </w:r>
          </w:p>
        </w:tc>
        <w:tc>
          <w:tcPr>
            <w:tcW w:w="1540" w:type="dxa"/>
            <w:tcBorders>
              <w:top w:val="nil"/>
              <w:left w:val="nil"/>
              <w:bottom w:val="single" w:sz="4" w:space="0" w:color="auto"/>
              <w:right w:val="single" w:sz="4" w:space="0" w:color="auto"/>
            </w:tcBorders>
            <w:shd w:val="clear" w:color="auto" w:fill="auto"/>
            <w:vAlign w:val="center"/>
            <w:hideMark/>
          </w:tcPr>
          <w:p w14:paraId="5A9D8FBA"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699FADD5"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14:paraId="2DDCA75C"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88</w:t>
            </w:r>
          </w:p>
        </w:tc>
      </w:tr>
      <w:tr w:rsidR="0032335C" w:rsidRPr="00C63A39" w14:paraId="61E78E8E"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6A329580" w14:textId="31B33C7D" w:rsidR="0032335C" w:rsidRPr="00C63A39" w:rsidRDefault="0032335C" w:rsidP="0032335C">
            <w:pPr>
              <w:rPr>
                <w:kern w:val="22"/>
                <w:szCs w:val="22"/>
                <w:lang w:val="fr-FR" w:eastAsia="en-CA"/>
              </w:rPr>
            </w:pPr>
            <w:r w:rsidRPr="00C63A39">
              <w:rPr>
                <w:szCs w:val="22"/>
                <w:lang w:val="fr-FR"/>
              </w:rPr>
              <w:t>Burundi</w:t>
            </w:r>
          </w:p>
        </w:tc>
        <w:tc>
          <w:tcPr>
            <w:tcW w:w="1540" w:type="dxa"/>
            <w:tcBorders>
              <w:top w:val="nil"/>
              <w:left w:val="nil"/>
              <w:bottom w:val="single" w:sz="4" w:space="0" w:color="auto"/>
              <w:right w:val="single" w:sz="4" w:space="0" w:color="auto"/>
            </w:tcBorders>
            <w:shd w:val="clear" w:color="auto" w:fill="auto"/>
            <w:vAlign w:val="center"/>
            <w:hideMark/>
          </w:tcPr>
          <w:p w14:paraId="319E4B6F"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20C0A570"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19977170"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29</w:t>
            </w:r>
          </w:p>
        </w:tc>
      </w:tr>
      <w:tr w:rsidR="0032335C" w:rsidRPr="00C63A39" w14:paraId="4ABF9A27"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0B54D89F" w14:textId="42DEC3FB" w:rsidR="0032335C" w:rsidRPr="00C63A39" w:rsidRDefault="0032335C" w:rsidP="0032335C">
            <w:pPr>
              <w:rPr>
                <w:kern w:val="22"/>
                <w:szCs w:val="22"/>
                <w:lang w:val="fr-FR" w:eastAsia="en-CA"/>
              </w:rPr>
            </w:pPr>
            <w:r w:rsidRPr="00C63A39">
              <w:rPr>
                <w:szCs w:val="22"/>
                <w:lang w:val="fr-FR"/>
              </w:rPr>
              <w:t>Cambodge</w:t>
            </w:r>
          </w:p>
        </w:tc>
        <w:tc>
          <w:tcPr>
            <w:tcW w:w="1540" w:type="dxa"/>
            <w:tcBorders>
              <w:top w:val="nil"/>
              <w:left w:val="nil"/>
              <w:bottom w:val="single" w:sz="4" w:space="0" w:color="auto"/>
              <w:right w:val="single" w:sz="4" w:space="0" w:color="auto"/>
            </w:tcBorders>
            <w:shd w:val="clear" w:color="auto" w:fill="auto"/>
            <w:vAlign w:val="center"/>
            <w:hideMark/>
          </w:tcPr>
          <w:p w14:paraId="510708FA"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14:paraId="15F04806"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3E07C28E"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175</w:t>
            </w:r>
          </w:p>
        </w:tc>
      </w:tr>
      <w:tr w:rsidR="0032335C" w:rsidRPr="00C63A39" w14:paraId="492E73A8"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33899878" w14:textId="7015D4E4" w:rsidR="0032335C" w:rsidRPr="00C63A39" w:rsidRDefault="0032335C" w:rsidP="0032335C">
            <w:pPr>
              <w:rPr>
                <w:kern w:val="22"/>
                <w:szCs w:val="22"/>
                <w:lang w:val="fr-FR" w:eastAsia="en-CA"/>
              </w:rPr>
            </w:pPr>
            <w:r w:rsidRPr="00C63A39">
              <w:rPr>
                <w:szCs w:val="22"/>
                <w:lang w:val="fr-FR"/>
              </w:rPr>
              <w:t>Cameroun</w:t>
            </w:r>
          </w:p>
        </w:tc>
        <w:tc>
          <w:tcPr>
            <w:tcW w:w="1540" w:type="dxa"/>
            <w:tcBorders>
              <w:top w:val="nil"/>
              <w:left w:val="nil"/>
              <w:bottom w:val="single" w:sz="4" w:space="0" w:color="auto"/>
              <w:right w:val="single" w:sz="4" w:space="0" w:color="auto"/>
            </w:tcBorders>
            <w:shd w:val="clear" w:color="auto" w:fill="auto"/>
            <w:vAlign w:val="center"/>
            <w:hideMark/>
          </w:tcPr>
          <w:p w14:paraId="40AB0651"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0.013 </w:t>
            </w:r>
          </w:p>
        </w:tc>
        <w:tc>
          <w:tcPr>
            <w:tcW w:w="1540" w:type="dxa"/>
            <w:tcBorders>
              <w:top w:val="nil"/>
              <w:left w:val="nil"/>
              <w:bottom w:val="single" w:sz="4" w:space="0" w:color="auto"/>
              <w:right w:val="single" w:sz="4" w:space="0" w:color="auto"/>
            </w:tcBorders>
            <w:shd w:val="clear" w:color="auto" w:fill="auto"/>
            <w:noWrap/>
            <w:vAlign w:val="center"/>
            <w:hideMark/>
          </w:tcPr>
          <w:p w14:paraId="7C1E1947"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0.022 </w:t>
            </w:r>
          </w:p>
        </w:tc>
        <w:tc>
          <w:tcPr>
            <w:tcW w:w="1540" w:type="dxa"/>
            <w:tcBorders>
              <w:top w:val="nil"/>
              <w:left w:val="nil"/>
              <w:bottom w:val="single" w:sz="4" w:space="0" w:color="auto"/>
              <w:right w:val="single" w:sz="4" w:space="0" w:color="auto"/>
            </w:tcBorders>
            <w:shd w:val="clear" w:color="auto" w:fill="auto"/>
            <w:noWrap/>
            <w:vAlign w:val="center"/>
            <w:hideMark/>
          </w:tcPr>
          <w:p w14:paraId="29BCC06A"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380</w:t>
            </w:r>
          </w:p>
        </w:tc>
      </w:tr>
      <w:tr w:rsidR="0032335C" w:rsidRPr="00C63A39" w14:paraId="0FDE1E41"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1617C302" w14:textId="41F5C8CC" w:rsidR="0032335C" w:rsidRPr="00C63A39" w:rsidRDefault="0032335C" w:rsidP="0032335C">
            <w:pPr>
              <w:rPr>
                <w:kern w:val="22"/>
                <w:szCs w:val="22"/>
                <w:lang w:val="fr-FR" w:eastAsia="en-CA"/>
              </w:rPr>
            </w:pPr>
            <w:r w:rsidRPr="00C63A39">
              <w:rPr>
                <w:szCs w:val="22"/>
                <w:lang w:val="fr-FR"/>
              </w:rPr>
              <w:t>République centrafricaine</w:t>
            </w:r>
          </w:p>
        </w:tc>
        <w:tc>
          <w:tcPr>
            <w:tcW w:w="1540" w:type="dxa"/>
            <w:tcBorders>
              <w:top w:val="nil"/>
              <w:left w:val="nil"/>
              <w:bottom w:val="single" w:sz="4" w:space="0" w:color="auto"/>
              <w:right w:val="single" w:sz="4" w:space="0" w:color="auto"/>
            </w:tcBorders>
            <w:shd w:val="clear" w:color="auto" w:fill="auto"/>
            <w:vAlign w:val="center"/>
            <w:hideMark/>
          </w:tcPr>
          <w:p w14:paraId="28A0E870"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4001D9D1"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220E0B8E"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29</w:t>
            </w:r>
          </w:p>
        </w:tc>
      </w:tr>
      <w:tr w:rsidR="0032335C" w:rsidRPr="00C63A39" w14:paraId="315071A1"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573B6B05" w14:textId="626CC398" w:rsidR="0032335C" w:rsidRPr="00C63A39" w:rsidRDefault="0032335C" w:rsidP="0032335C">
            <w:pPr>
              <w:rPr>
                <w:kern w:val="22"/>
                <w:szCs w:val="22"/>
                <w:lang w:val="fr-FR" w:eastAsia="en-CA"/>
              </w:rPr>
            </w:pPr>
            <w:r w:rsidRPr="00C63A39">
              <w:rPr>
                <w:szCs w:val="22"/>
                <w:lang w:val="fr-FR"/>
              </w:rPr>
              <w:t>Tchad</w:t>
            </w:r>
          </w:p>
        </w:tc>
        <w:tc>
          <w:tcPr>
            <w:tcW w:w="1540" w:type="dxa"/>
            <w:tcBorders>
              <w:top w:val="nil"/>
              <w:left w:val="nil"/>
              <w:bottom w:val="single" w:sz="4" w:space="0" w:color="auto"/>
              <w:right w:val="single" w:sz="4" w:space="0" w:color="auto"/>
            </w:tcBorders>
            <w:shd w:val="clear" w:color="auto" w:fill="auto"/>
            <w:vAlign w:val="center"/>
            <w:hideMark/>
          </w:tcPr>
          <w:p w14:paraId="1D857CA1"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250AEFDA"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14:paraId="2FA03CFD"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117</w:t>
            </w:r>
          </w:p>
        </w:tc>
      </w:tr>
      <w:tr w:rsidR="0032335C" w:rsidRPr="00C63A39" w14:paraId="60B36341"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7623FE68" w14:textId="5447E655" w:rsidR="0032335C" w:rsidRPr="00C63A39" w:rsidRDefault="0032335C" w:rsidP="0032335C">
            <w:pPr>
              <w:rPr>
                <w:kern w:val="22"/>
                <w:szCs w:val="22"/>
                <w:lang w:val="fr-FR" w:eastAsia="en-CA"/>
              </w:rPr>
            </w:pPr>
            <w:r w:rsidRPr="00C63A39">
              <w:rPr>
                <w:szCs w:val="22"/>
                <w:lang w:val="fr-FR"/>
              </w:rPr>
              <w:t>Chine</w:t>
            </w:r>
          </w:p>
        </w:tc>
        <w:tc>
          <w:tcPr>
            <w:tcW w:w="1540" w:type="dxa"/>
            <w:tcBorders>
              <w:top w:val="nil"/>
              <w:left w:val="nil"/>
              <w:bottom w:val="single" w:sz="4" w:space="0" w:color="auto"/>
              <w:right w:val="single" w:sz="4" w:space="0" w:color="auto"/>
            </w:tcBorders>
            <w:shd w:val="clear" w:color="auto" w:fill="auto"/>
            <w:vAlign w:val="center"/>
            <w:hideMark/>
          </w:tcPr>
          <w:p w14:paraId="5DE3E293"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12.005 </w:t>
            </w:r>
          </w:p>
        </w:tc>
        <w:tc>
          <w:tcPr>
            <w:tcW w:w="1540" w:type="dxa"/>
            <w:tcBorders>
              <w:top w:val="nil"/>
              <w:left w:val="nil"/>
              <w:bottom w:val="single" w:sz="4" w:space="0" w:color="auto"/>
              <w:right w:val="single" w:sz="4" w:space="0" w:color="auto"/>
            </w:tcBorders>
            <w:shd w:val="clear" w:color="auto" w:fill="auto"/>
            <w:noWrap/>
            <w:vAlign w:val="center"/>
            <w:hideMark/>
          </w:tcPr>
          <w:p w14:paraId="0A7818EB"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20.712 </w:t>
            </w:r>
          </w:p>
        </w:tc>
        <w:tc>
          <w:tcPr>
            <w:tcW w:w="1540" w:type="dxa"/>
            <w:tcBorders>
              <w:top w:val="nil"/>
              <w:left w:val="nil"/>
              <w:bottom w:val="single" w:sz="4" w:space="0" w:color="auto"/>
              <w:right w:val="single" w:sz="4" w:space="0" w:color="auto"/>
            </w:tcBorders>
            <w:shd w:val="clear" w:color="auto" w:fill="auto"/>
            <w:noWrap/>
            <w:vAlign w:val="center"/>
            <w:hideMark/>
          </w:tcPr>
          <w:p w14:paraId="3C6097FC"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351,076</w:t>
            </w:r>
          </w:p>
        </w:tc>
      </w:tr>
      <w:tr w:rsidR="0032335C" w:rsidRPr="00C63A39" w14:paraId="658F690A"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5CF3A41B" w14:textId="1B809DE7" w:rsidR="0032335C" w:rsidRPr="00C63A39" w:rsidRDefault="0032335C" w:rsidP="0032335C">
            <w:pPr>
              <w:rPr>
                <w:kern w:val="22"/>
                <w:szCs w:val="22"/>
                <w:lang w:val="fr-FR" w:eastAsia="en-CA"/>
              </w:rPr>
            </w:pPr>
            <w:r w:rsidRPr="00C63A39">
              <w:rPr>
                <w:szCs w:val="22"/>
                <w:lang w:val="fr-FR"/>
              </w:rPr>
              <w:t>Comores</w:t>
            </w:r>
          </w:p>
        </w:tc>
        <w:tc>
          <w:tcPr>
            <w:tcW w:w="1540" w:type="dxa"/>
            <w:tcBorders>
              <w:top w:val="nil"/>
              <w:left w:val="nil"/>
              <w:bottom w:val="single" w:sz="4" w:space="0" w:color="auto"/>
              <w:right w:val="single" w:sz="4" w:space="0" w:color="auto"/>
            </w:tcBorders>
            <w:shd w:val="clear" w:color="auto" w:fill="auto"/>
            <w:vAlign w:val="center"/>
            <w:hideMark/>
          </w:tcPr>
          <w:p w14:paraId="09EB8471"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2B44945B"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00FC2E78"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29</w:t>
            </w:r>
          </w:p>
        </w:tc>
      </w:tr>
      <w:tr w:rsidR="0032335C" w:rsidRPr="00C63A39" w14:paraId="6B5987BB"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49BD8E5C" w14:textId="3469B5FF" w:rsidR="0032335C" w:rsidRPr="00C63A39" w:rsidRDefault="0032335C" w:rsidP="0032335C">
            <w:pPr>
              <w:rPr>
                <w:kern w:val="22"/>
                <w:szCs w:val="22"/>
                <w:lang w:val="fr-FR" w:eastAsia="en-CA"/>
              </w:rPr>
            </w:pPr>
            <w:r w:rsidRPr="00C63A39">
              <w:rPr>
                <w:szCs w:val="22"/>
                <w:lang w:val="fr-FR"/>
              </w:rPr>
              <w:t>Congo</w:t>
            </w:r>
          </w:p>
        </w:tc>
        <w:tc>
          <w:tcPr>
            <w:tcW w:w="1540" w:type="dxa"/>
            <w:tcBorders>
              <w:top w:val="nil"/>
              <w:left w:val="nil"/>
              <w:bottom w:val="single" w:sz="4" w:space="0" w:color="auto"/>
              <w:right w:val="single" w:sz="4" w:space="0" w:color="auto"/>
            </w:tcBorders>
            <w:shd w:val="clear" w:color="auto" w:fill="auto"/>
            <w:vAlign w:val="center"/>
            <w:hideMark/>
          </w:tcPr>
          <w:p w14:paraId="080B29AE"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14:paraId="2F4AABEA"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5EB1F038"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175</w:t>
            </w:r>
          </w:p>
        </w:tc>
      </w:tr>
      <w:tr w:rsidR="0032335C" w:rsidRPr="00C63A39" w14:paraId="3286E9D1"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64B906A5" w14:textId="4C981368" w:rsidR="0032335C" w:rsidRPr="00C63A39" w:rsidRDefault="0032335C" w:rsidP="0032335C">
            <w:pPr>
              <w:rPr>
                <w:kern w:val="22"/>
                <w:szCs w:val="22"/>
                <w:lang w:val="fr-FR" w:eastAsia="en-CA"/>
              </w:rPr>
            </w:pPr>
            <w:r w:rsidRPr="00C63A39">
              <w:rPr>
                <w:szCs w:val="22"/>
                <w:lang w:val="fr-FR"/>
              </w:rPr>
              <w:t>Côte d'Ivoire</w:t>
            </w:r>
          </w:p>
        </w:tc>
        <w:tc>
          <w:tcPr>
            <w:tcW w:w="1540" w:type="dxa"/>
            <w:tcBorders>
              <w:top w:val="nil"/>
              <w:left w:val="nil"/>
              <w:bottom w:val="single" w:sz="4" w:space="0" w:color="auto"/>
              <w:right w:val="single" w:sz="4" w:space="0" w:color="auto"/>
            </w:tcBorders>
            <w:shd w:val="clear" w:color="auto" w:fill="auto"/>
            <w:vAlign w:val="center"/>
            <w:hideMark/>
          </w:tcPr>
          <w:p w14:paraId="2940CF92"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0.013 </w:t>
            </w:r>
          </w:p>
        </w:tc>
        <w:tc>
          <w:tcPr>
            <w:tcW w:w="1540" w:type="dxa"/>
            <w:tcBorders>
              <w:top w:val="nil"/>
              <w:left w:val="nil"/>
              <w:bottom w:val="single" w:sz="4" w:space="0" w:color="auto"/>
              <w:right w:val="single" w:sz="4" w:space="0" w:color="auto"/>
            </w:tcBorders>
            <w:shd w:val="clear" w:color="auto" w:fill="auto"/>
            <w:noWrap/>
            <w:vAlign w:val="center"/>
            <w:hideMark/>
          </w:tcPr>
          <w:p w14:paraId="3667CF88"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0.022 </w:t>
            </w:r>
          </w:p>
        </w:tc>
        <w:tc>
          <w:tcPr>
            <w:tcW w:w="1540" w:type="dxa"/>
            <w:tcBorders>
              <w:top w:val="nil"/>
              <w:left w:val="nil"/>
              <w:bottom w:val="single" w:sz="4" w:space="0" w:color="auto"/>
              <w:right w:val="single" w:sz="4" w:space="0" w:color="auto"/>
            </w:tcBorders>
            <w:shd w:val="clear" w:color="auto" w:fill="auto"/>
            <w:noWrap/>
            <w:vAlign w:val="center"/>
            <w:hideMark/>
          </w:tcPr>
          <w:p w14:paraId="479176C9"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380</w:t>
            </w:r>
          </w:p>
        </w:tc>
      </w:tr>
      <w:tr w:rsidR="0032335C" w:rsidRPr="00C63A39" w14:paraId="791F61C9"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7CC4C6DF" w14:textId="451B8F84" w:rsidR="0032335C" w:rsidRPr="00C63A39" w:rsidRDefault="0032335C" w:rsidP="0032335C">
            <w:pPr>
              <w:rPr>
                <w:kern w:val="22"/>
                <w:szCs w:val="22"/>
                <w:lang w:val="fr-FR" w:eastAsia="en-CA"/>
              </w:rPr>
            </w:pPr>
            <w:r w:rsidRPr="00C63A39">
              <w:rPr>
                <w:szCs w:val="22"/>
                <w:lang w:val="fr-FR"/>
              </w:rPr>
              <w:t>Croatie</w:t>
            </w:r>
          </w:p>
        </w:tc>
        <w:tc>
          <w:tcPr>
            <w:tcW w:w="1540" w:type="dxa"/>
            <w:tcBorders>
              <w:top w:val="nil"/>
              <w:left w:val="nil"/>
              <w:bottom w:val="single" w:sz="4" w:space="0" w:color="auto"/>
              <w:right w:val="single" w:sz="4" w:space="0" w:color="auto"/>
            </w:tcBorders>
            <w:shd w:val="clear" w:color="auto" w:fill="auto"/>
            <w:vAlign w:val="center"/>
            <w:hideMark/>
          </w:tcPr>
          <w:p w14:paraId="240E51F3"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0.077 </w:t>
            </w:r>
          </w:p>
        </w:tc>
        <w:tc>
          <w:tcPr>
            <w:tcW w:w="1540" w:type="dxa"/>
            <w:tcBorders>
              <w:top w:val="nil"/>
              <w:left w:val="nil"/>
              <w:bottom w:val="single" w:sz="4" w:space="0" w:color="auto"/>
              <w:right w:val="single" w:sz="4" w:space="0" w:color="auto"/>
            </w:tcBorders>
            <w:shd w:val="clear" w:color="auto" w:fill="auto"/>
            <w:noWrap/>
            <w:vAlign w:val="center"/>
            <w:hideMark/>
          </w:tcPr>
          <w:p w14:paraId="546A9159"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0.133 </w:t>
            </w:r>
          </w:p>
        </w:tc>
        <w:tc>
          <w:tcPr>
            <w:tcW w:w="1540" w:type="dxa"/>
            <w:tcBorders>
              <w:top w:val="nil"/>
              <w:left w:val="nil"/>
              <w:bottom w:val="single" w:sz="4" w:space="0" w:color="auto"/>
              <w:right w:val="single" w:sz="4" w:space="0" w:color="auto"/>
            </w:tcBorders>
            <w:shd w:val="clear" w:color="auto" w:fill="auto"/>
            <w:noWrap/>
            <w:vAlign w:val="center"/>
            <w:hideMark/>
          </w:tcPr>
          <w:p w14:paraId="1756D468"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2,252</w:t>
            </w:r>
          </w:p>
        </w:tc>
      </w:tr>
      <w:tr w:rsidR="0032335C" w:rsidRPr="00C63A39" w14:paraId="3E629B16"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43F74B37" w14:textId="1CB16F66" w:rsidR="0032335C" w:rsidRPr="00C63A39" w:rsidRDefault="0032335C" w:rsidP="0032335C">
            <w:pPr>
              <w:rPr>
                <w:kern w:val="22"/>
                <w:szCs w:val="22"/>
                <w:lang w:val="fr-FR" w:eastAsia="en-CA"/>
              </w:rPr>
            </w:pPr>
            <w:r w:rsidRPr="00C63A39">
              <w:rPr>
                <w:szCs w:val="22"/>
                <w:lang w:val="fr-FR"/>
              </w:rPr>
              <w:t>Cuba</w:t>
            </w:r>
          </w:p>
        </w:tc>
        <w:tc>
          <w:tcPr>
            <w:tcW w:w="1540" w:type="dxa"/>
            <w:tcBorders>
              <w:top w:val="nil"/>
              <w:left w:val="nil"/>
              <w:bottom w:val="single" w:sz="4" w:space="0" w:color="auto"/>
              <w:right w:val="single" w:sz="4" w:space="0" w:color="auto"/>
            </w:tcBorders>
            <w:shd w:val="clear" w:color="auto" w:fill="auto"/>
            <w:vAlign w:val="center"/>
            <w:hideMark/>
          </w:tcPr>
          <w:p w14:paraId="010D45BD"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0.080 </w:t>
            </w:r>
          </w:p>
        </w:tc>
        <w:tc>
          <w:tcPr>
            <w:tcW w:w="1540" w:type="dxa"/>
            <w:tcBorders>
              <w:top w:val="nil"/>
              <w:left w:val="nil"/>
              <w:bottom w:val="single" w:sz="4" w:space="0" w:color="auto"/>
              <w:right w:val="single" w:sz="4" w:space="0" w:color="auto"/>
            </w:tcBorders>
            <w:shd w:val="clear" w:color="auto" w:fill="auto"/>
            <w:noWrap/>
            <w:vAlign w:val="center"/>
            <w:hideMark/>
          </w:tcPr>
          <w:p w14:paraId="75392572"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0.138 </w:t>
            </w:r>
          </w:p>
        </w:tc>
        <w:tc>
          <w:tcPr>
            <w:tcW w:w="1540" w:type="dxa"/>
            <w:tcBorders>
              <w:top w:val="nil"/>
              <w:left w:val="nil"/>
              <w:bottom w:val="single" w:sz="4" w:space="0" w:color="auto"/>
              <w:right w:val="single" w:sz="4" w:space="0" w:color="auto"/>
            </w:tcBorders>
            <w:shd w:val="clear" w:color="auto" w:fill="auto"/>
            <w:noWrap/>
            <w:vAlign w:val="center"/>
            <w:hideMark/>
          </w:tcPr>
          <w:p w14:paraId="2C5E72B0"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2,340</w:t>
            </w:r>
          </w:p>
        </w:tc>
      </w:tr>
      <w:tr w:rsidR="0032335C" w:rsidRPr="00C63A39" w14:paraId="18DF672A"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67E469F7" w14:textId="749D7310" w:rsidR="0032335C" w:rsidRPr="00C63A39" w:rsidRDefault="0032335C" w:rsidP="0032335C">
            <w:pPr>
              <w:rPr>
                <w:kern w:val="22"/>
                <w:szCs w:val="22"/>
                <w:lang w:val="fr-FR" w:eastAsia="en-CA"/>
              </w:rPr>
            </w:pPr>
            <w:r w:rsidRPr="00C63A39">
              <w:rPr>
                <w:szCs w:val="22"/>
                <w:lang w:val="fr-FR"/>
              </w:rPr>
              <w:t>République tchèque</w:t>
            </w:r>
          </w:p>
        </w:tc>
        <w:tc>
          <w:tcPr>
            <w:tcW w:w="1540" w:type="dxa"/>
            <w:tcBorders>
              <w:top w:val="nil"/>
              <w:left w:val="nil"/>
              <w:bottom w:val="single" w:sz="4" w:space="0" w:color="auto"/>
              <w:right w:val="single" w:sz="4" w:space="0" w:color="auto"/>
            </w:tcBorders>
            <w:shd w:val="clear" w:color="auto" w:fill="auto"/>
            <w:vAlign w:val="center"/>
            <w:hideMark/>
          </w:tcPr>
          <w:p w14:paraId="40C213CE"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0.311 </w:t>
            </w:r>
          </w:p>
        </w:tc>
        <w:tc>
          <w:tcPr>
            <w:tcW w:w="1540" w:type="dxa"/>
            <w:tcBorders>
              <w:top w:val="nil"/>
              <w:left w:val="nil"/>
              <w:bottom w:val="single" w:sz="4" w:space="0" w:color="auto"/>
              <w:right w:val="single" w:sz="4" w:space="0" w:color="auto"/>
            </w:tcBorders>
            <w:shd w:val="clear" w:color="auto" w:fill="auto"/>
            <w:noWrap/>
            <w:vAlign w:val="center"/>
            <w:hideMark/>
          </w:tcPr>
          <w:p w14:paraId="707E8EF7"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0.537 </w:t>
            </w:r>
          </w:p>
        </w:tc>
        <w:tc>
          <w:tcPr>
            <w:tcW w:w="1540" w:type="dxa"/>
            <w:tcBorders>
              <w:top w:val="nil"/>
              <w:left w:val="nil"/>
              <w:bottom w:val="single" w:sz="4" w:space="0" w:color="auto"/>
              <w:right w:val="single" w:sz="4" w:space="0" w:color="auto"/>
            </w:tcBorders>
            <w:shd w:val="clear" w:color="auto" w:fill="auto"/>
            <w:noWrap/>
            <w:vAlign w:val="center"/>
            <w:hideMark/>
          </w:tcPr>
          <w:p w14:paraId="423F7E5C"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9,095</w:t>
            </w:r>
          </w:p>
        </w:tc>
      </w:tr>
      <w:tr w:rsidR="0032335C" w:rsidRPr="00C63A39" w14:paraId="18D84AA8"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4D8584A2" w14:textId="54721710" w:rsidR="0032335C" w:rsidRPr="00C63A39" w:rsidRDefault="0032335C" w:rsidP="0032335C">
            <w:pPr>
              <w:rPr>
                <w:kern w:val="22"/>
                <w:szCs w:val="22"/>
                <w:lang w:val="fr-FR" w:eastAsia="en-CA"/>
              </w:rPr>
            </w:pPr>
            <w:r w:rsidRPr="00C63A39">
              <w:rPr>
                <w:szCs w:val="22"/>
                <w:lang w:val="fr-FR"/>
              </w:rPr>
              <w:t>République démocratique de Corée</w:t>
            </w:r>
          </w:p>
        </w:tc>
        <w:tc>
          <w:tcPr>
            <w:tcW w:w="1540" w:type="dxa"/>
            <w:tcBorders>
              <w:top w:val="nil"/>
              <w:left w:val="nil"/>
              <w:bottom w:val="single" w:sz="4" w:space="0" w:color="auto"/>
              <w:right w:val="single" w:sz="4" w:space="0" w:color="auto"/>
            </w:tcBorders>
            <w:shd w:val="clear" w:color="auto" w:fill="auto"/>
            <w:vAlign w:val="center"/>
            <w:hideMark/>
          </w:tcPr>
          <w:p w14:paraId="163E148B"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14:paraId="66A6DC3B"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2A5BA511"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175</w:t>
            </w:r>
          </w:p>
        </w:tc>
      </w:tr>
      <w:tr w:rsidR="0032335C" w:rsidRPr="00C63A39" w14:paraId="3C5D3404"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3CB4BB77" w14:textId="6564E128" w:rsidR="0032335C" w:rsidRPr="00C63A39" w:rsidRDefault="0032335C" w:rsidP="0032335C">
            <w:pPr>
              <w:rPr>
                <w:kern w:val="22"/>
                <w:szCs w:val="22"/>
                <w:lang w:val="fr-FR" w:eastAsia="en-CA"/>
              </w:rPr>
            </w:pPr>
            <w:r w:rsidRPr="00C63A39">
              <w:rPr>
                <w:szCs w:val="22"/>
                <w:lang w:val="fr-FR"/>
              </w:rPr>
              <w:t>République démocratique du Congo</w:t>
            </w:r>
          </w:p>
        </w:tc>
        <w:tc>
          <w:tcPr>
            <w:tcW w:w="1540" w:type="dxa"/>
            <w:tcBorders>
              <w:top w:val="nil"/>
              <w:left w:val="nil"/>
              <w:bottom w:val="single" w:sz="4" w:space="0" w:color="auto"/>
              <w:right w:val="single" w:sz="4" w:space="0" w:color="auto"/>
            </w:tcBorders>
            <w:shd w:val="clear" w:color="auto" w:fill="auto"/>
            <w:vAlign w:val="center"/>
            <w:hideMark/>
          </w:tcPr>
          <w:p w14:paraId="7C88930D"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1E7E5D39"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70CB2527"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170</w:t>
            </w:r>
          </w:p>
        </w:tc>
      </w:tr>
    </w:tbl>
    <w:p w14:paraId="7ED77C70" w14:textId="3298B83B" w:rsidR="00315701" w:rsidRPr="00C63A39" w:rsidRDefault="00315701" w:rsidP="000311B5">
      <w:pPr>
        <w:spacing w:after="160" w:line="259" w:lineRule="auto"/>
        <w:rPr>
          <w:b/>
          <w:bCs/>
          <w:snapToGrid w:val="0"/>
          <w:kern w:val="22"/>
          <w:szCs w:val="22"/>
          <w:lang w:val="fr-FR"/>
        </w:rPr>
      </w:pPr>
    </w:p>
    <w:p w14:paraId="27E07D36" w14:textId="77777777" w:rsidR="00315701" w:rsidRPr="00C63A39" w:rsidRDefault="00315701">
      <w:pPr>
        <w:spacing w:after="160" w:line="259" w:lineRule="auto"/>
        <w:rPr>
          <w:b/>
          <w:bCs/>
          <w:snapToGrid w:val="0"/>
          <w:kern w:val="22"/>
          <w:szCs w:val="22"/>
          <w:lang w:val="fr-FR"/>
        </w:rPr>
      </w:pPr>
      <w:r w:rsidRPr="00C63A39">
        <w:rPr>
          <w:b/>
          <w:bCs/>
          <w:snapToGrid w:val="0"/>
          <w:kern w:val="22"/>
          <w:szCs w:val="22"/>
          <w:lang w:val="fr-FR"/>
        </w:rPr>
        <w:br w:type="page"/>
      </w:r>
    </w:p>
    <w:tbl>
      <w:tblPr>
        <w:tblW w:w="9420" w:type="dxa"/>
        <w:tblLook w:val="04A0" w:firstRow="1" w:lastRow="0" w:firstColumn="1" w:lastColumn="0" w:noHBand="0" w:noVBand="1"/>
      </w:tblPr>
      <w:tblGrid>
        <w:gridCol w:w="4800"/>
        <w:gridCol w:w="1540"/>
        <w:gridCol w:w="1540"/>
        <w:gridCol w:w="1540"/>
      </w:tblGrid>
      <w:tr w:rsidR="005F7E95" w:rsidRPr="00C63A39" w14:paraId="28345284" w14:textId="77777777" w:rsidTr="00315701">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6D1982" w14:textId="4C59598A" w:rsidR="005F7E95" w:rsidRPr="00C63A39" w:rsidRDefault="005F7E95" w:rsidP="005F7E95">
            <w:pPr>
              <w:jc w:val="center"/>
              <w:rPr>
                <w:b/>
                <w:bCs/>
                <w:kern w:val="22"/>
                <w:szCs w:val="22"/>
                <w:lang w:val="fr-FR" w:eastAsia="en-CA"/>
              </w:rPr>
            </w:pPr>
            <w:r w:rsidRPr="00C63A39">
              <w:rPr>
                <w:b/>
                <w:bCs/>
                <w:kern w:val="22"/>
                <w:szCs w:val="22"/>
                <w:lang w:val="fr-FR" w:eastAsia="en-CA"/>
              </w:rPr>
              <w:lastRenderedPageBreak/>
              <w:t>Partie</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46787CCC" w14:textId="41EF7AFD" w:rsidR="005F7E95" w:rsidRPr="00C63A39" w:rsidRDefault="005F7E95" w:rsidP="005F7E95">
            <w:pPr>
              <w:jc w:val="center"/>
              <w:rPr>
                <w:b/>
                <w:bCs/>
                <w:color w:val="000000"/>
                <w:kern w:val="22"/>
                <w:szCs w:val="22"/>
                <w:lang w:val="fr-FR" w:eastAsia="en-CA"/>
              </w:rPr>
            </w:pPr>
            <w:r w:rsidRPr="00C63A39">
              <w:rPr>
                <w:b/>
                <w:bCs/>
                <w:color w:val="000000"/>
                <w:kern w:val="22"/>
                <w:szCs w:val="22"/>
                <w:lang w:val="fr-FR" w:eastAsia="en-CA"/>
              </w:rPr>
              <w:t xml:space="preserve">Barème des quotes-parts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17587F98" w14:textId="1E29727A" w:rsidR="005F7E95" w:rsidRPr="00C63A39" w:rsidRDefault="005F7E95" w:rsidP="005F7E95">
            <w:pPr>
              <w:jc w:val="center"/>
              <w:rPr>
                <w:b/>
                <w:bCs/>
                <w:color w:val="000000"/>
                <w:kern w:val="22"/>
                <w:szCs w:val="22"/>
                <w:lang w:val="fr-FR" w:eastAsia="en-CA"/>
              </w:rPr>
            </w:pPr>
            <w:r w:rsidRPr="00C63A39">
              <w:rPr>
                <w:b/>
                <w:bCs/>
                <w:color w:val="000000"/>
                <w:kern w:val="22"/>
                <w:szCs w:val="22"/>
                <w:lang w:val="fr-FR" w:eastAsia="en-CA"/>
              </w:rPr>
              <w:t>Barème assorti d’un plafond de 22% ; aucun PMA ne paie plus de 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3923A9C2" w14:textId="4CC5BB61" w:rsidR="005F7E95" w:rsidRPr="00C63A39" w:rsidRDefault="005F7E95" w:rsidP="005F7E95">
            <w:pPr>
              <w:jc w:val="center"/>
              <w:rPr>
                <w:b/>
                <w:bCs/>
                <w:color w:val="000000"/>
                <w:kern w:val="22"/>
                <w:szCs w:val="22"/>
                <w:lang w:val="fr-FR" w:eastAsia="en-CA"/>
              </w:rPr>
            </w:pPr>
            <w:r w:rsidRPr="00C63A39">
              <w:rPr>
                <w:b/>
                <w:bCs/>
                <w:color w:val="000000"/>
                <w:kern w:val="22"/>
                <w:szCs w:val="22"/>
                <w:lang w:val="fr-FR" w:eastAsia="en-CA"/>
              </w:rPr>
              <w:t>Contributions au 1er janvier 2020</w:t>
            </w:r>
          </w:p>
        </w:tc>
      </w:tr>
      <w:tr w:rsidR="0032335C" w:rsidRPr="00C63A39" w14:paraId="4C3B5163"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7A4E6006" w14:textId="5BC5255F" w:rsidR="0032335C" w:rsidRPr="00C63A39" w:rsidRDefault="0032335C" w:rsidP="0032335C">
            <w:pPr>
              <w:rPr>
                <w:kern w:val="22"/>
                <w:szCs w:val="22"/>
                <w:lang w:val="fr-FR" w:eastAsia="en-CA"/>
              </w:rPr>
            </w:pPr>
            <w:r w:rsidRPr="00C63A39">
              <w:rPr>
                <w:szCs w:val="22"/>
                <w:lang w:val="fr-FR"/>
              </w:rPr>
              <w:t>Danemark</w:t>
            </w:r>
          </w:p>
        </w:tc>
        <w:tc>
          <w:tcPr>
            <w:tcW w:w="1540" w:type="dxa"/>
            <w:tcBorders>
              <w:top w:val="nil"/>
              <w:left w:val="nil"/>
              <w:bottom w:val="single" w:sz="4" w:space="0" w:color="auto"/>
              <w:right w:val="single" w:sz="4" w:space="0" w:color="auto"/>
            </w:tcBorders>
            <w:shd w:val="clear" w:color="auto" w:fill="auto"/>
            <w:vAlign w:val="center"/>
            <w:hideMark/>
          </w:tcPr>
          <w:p w14:paraId="2BC6D0B9"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0.554 </w:t>
            </w:r>
          </w:p>
        </w:tc>
        <w:tc>
          <w:tcPr>
            <w:tcW w:w="1540" w:type="dxa"/>
            <w:tcBorders>
              <w:top w:val="nil"/>
              <w:left w:val="nil"/>
              <w:bottom w:val="single" w:sz="4" w:space="0" w:color="auto"/>
              <w:right w:val="single" w:sz="4" w:space="0" w:color="auto"/>
            </w:tcBorders>
            <w:shd w:val="clear" w:color="auto" w:fill="auto"/>
            <w:noWrap/>
            <w:vAlign w:val="center"/>
            <w:hideMark/>
          </w:tcPr>
          <w:p w14:paraId="05421D81"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0.956 </w:t>
            </w:r>
          </w:p>
        </w:tc>
        <w:tc>
          <w:tcPr>
            <w:tcW w:w="1540" w:type="dxa"/>
            <w:tcBorders>
              <w:top w:val="nil"/>
              <w:left w:val="nil"/>
              <w:bottom w:val="single" w:sz="4" w:space="0" w:color="auto"/>
              <w:right w:val="single" w:sz="4" w:space="0" w:color="auto"/>
            </w:tcBorders>
            <w:shd w:val="clear" w:color="auto" w:fill="auto"/>
            <w:noWrap/>
            <w:vAlign w:val="center"/>
            <w:hideMark/>
          </w:tcPr>
          <w:p w14:paraId="54729E9A"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16,201</w:t>
            </w:r>
          </w:p>
        </w:tc>
      </w:tr>
      <w:tr w:rsidR="0032335C" w:rsidRPr="00C63A39" w14:paraId="70A5C514"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1AAE1BD5" w14:textId="2F057139" w:rsidR="0032335C" w:rsidRPr="00C63A39" w:rsidRDefault="0032335C" w:rsidP="0032335C">
            <w:pPr>
              <w:rPr>
                <w:kern w:val="22"/>
                <w:szCs w:val="22"/>
                <w:lang w:val="fr-FR" w:eastAsia="en-CA"/>
              </w:rPr>
            </w:pPr>
            <w:r w:rsidRPr="00C63A39">
              <w:rPr>
                <w:szCs w:val="22"/>
                <w:lang w:val="fr-FR"/>
              </w:rPr>
              <w:t>Djibouti</w:t>
            </w:r>
          </w:p>
        </w:tc>
        <w:tc>
          <w:tcPr>
            <w:tcW w:w="1540" w:type="dxa"/>
            <w:tcBorders>
              <w:top w:val="nil"/>
              <w:left w:val="nil"/>
              <w:bottom w:val="single" w:sz="4" w:space="0" w:color="auto"/>
              <w:right w:val="single" w:sz="4" w:space="0" w:color="auto"/>
            </w:tcBorders>
            <w:shd w:val="clear" w:color="auto" w:fill="auto"/>
            <w:vAlign w:val="center"/>
            <w:hideMark/>
          </w:tcPr>
          <w:p w14:paraId="246E7E31"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3DEBE00A"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1CFEA8FD"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29</w:t>
            </w:r>
          </w:p>
        </w:tc>
      </w:tr>
      <w:tr w:rsidR="0032335C" w:rsidRPr="00C63A39" w14:paraId="7CB9A348"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228681EF" w14:textId="58F6ED22" w:rsidR="0032335C" w:rsidRPr="00C63A39" w:rsidRDefault="0032335C" w:rsidP="0032335C">
            <w:pPr>
              <w:rPr>
                <w:kern w:val="22"/>
                <w:szCs w:val="22"/>
                <w:lang w:val="fr-FR" w:eastAsia="en-CA"/>
              </w:rPr>
            </w:pPr>
            <w:r w:rsidRPr="00C63A39">
              <w:rPr>
                <w:szCs w:val="22"/>
                <w:lang w:val="fr-FR"/>
              </w:rPr>
              <w:t>République dominicaine</w:t>
            </w:r>
          </w:p>
        </w:tc>
        <w:tc>
          <w:tcPr>
            <w:tcW w:w="1540" w:type="dxa"/>
            <w:tcBorders>
              <w:top w:val="nil"/>
              <w:left w:val="nil"/>
              <w:bottom w:val="single" w:sz="4" w:space="0" w:color="auto"/>
              <w:right w:val="single" w:sz="4" w:space="0" w:color="auto"/>
            </w:tcBorders>
            <w:shd w:val="clear" w:color="auto" w:fill="auto"/>
            <w:vAlign w:val="center"/>
            <w:hideMark/>
          </w:tcPr>
          <w:p w14:paraId="1D33766F"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0.053 </w:t>
            </w:r>
          </w:p>
        </w:tc>
        <w:tc>
          <w:tcPr>
            <w:tcW w:w="1540" w:type="dxa"/>
            <w:tcBorders>
              <w:top w:val="nil"/>
              <w:left w:val="nil"/>
              <w:bottom w:val="single" w:sz="4" w:space="0" w:color="auto"/>
              <w:right w:val="single" w:sz="4" w:space="0" w:color="auto"/>
            </w:tcBorders>
            <w:shd w:val="clear" w:color="auto" w:fill="auto"/>
            <w:noWrap/>
            <w:vAlign w:val="center"/>
            <w:hideMark/>
          </w:tcPr>
          <w:p w14:paraId="5A53342C"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0.091 </w:t>
            </w:r>
          </w:p>
        </w:tc>
        <w:tc>
          <w:tcPr>
            <w:tcW w:w="1540" w:type="dxa"/>
            <w:tcBorders>
              <w:top w:val="nil"/>
              <w:left w:val="nil"/>
              <w:bottom w:val="single" w:sz="4" w:space="0" w:color="auto"/>
              <w:right w:val="single" w:sz="4" w:space="0" w:color="auto"/>
            </w:tcBorders>
            <w:shd w:val="clear" w:color="auto" w:fill="auto"/>
            <w:noWrap/>
            <w:vAlign w:val="center"/>
            <w:hideMark/>
          </w:tcPr>
          <w:p w14:paraId="4505707F"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1,550</w:t>
            </w:r>
          </w:p>
        </w:tc>
      </w:tr>
      <w:tr w:rsidR="0032335C" w:rsidRPr="00C63A39" w14:paraId="1420CAEF"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78B9F79D" w14:textId="1383B24E" w:rsidR="0032335C" w:rsidRPr="00C63A39" w:rsidRDefault="0032335C" w:rsidP="0032335C">
            <w:pPr>
              <w:rPr>
                <w:kern w:val="22"/>
                <w:szCs w:val="22"/>
                <w:lang w:val="fr-FR" w:eastAsia="en-CA"/>
              </w:rPr>
            </w:pPr>
            <w:r w:rsidRPr="00C63A39">
              <w:rPr>
                <w:szCs w:val="22"/>
                <w:lang w:val="fr-FR"/>
              </w:rPr>
              <w:t>Équateur</w:t>
            </w:r>
          </w:p>
        </w:tc>
        <w:tc>
          <w:tcPr>
            <w:tcW w:w="1540" w:type="dxa"/>
            <w:tcBorders>
              <w:top w:val="nil"/>
              <w:left w:val="nil"/>
              <w:bottom w:val="single" w:sz="4" w:space="0" w:color="auto"/>
              <w:right w:val="single" w:sz="4" w:space="0" w:color="auto"/>
            </w:tcBorders>
            <w:shd w:val="clear" w:color="auto" w:fill="auto"/>
            <w:vAlign w:val="center"/>
            <w:hideMark/>
          </w:tcPr>
          <w:p w14:paraId="115D48FC"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0.080 </w:t>
            </w:r>
          </w:p>
        </w:tc>
        <w:tc>
          <w:tcPr>
            <w:tcW w:w="1540" w:type="dxa"/>
            <w:tcBorders>
              <w:top w:val="nil"/>
              <w:left w:val="nil"/>
              <w:bottom w:val="single" w:sz="4" w:space="0" w:color="auto"/>
              <w:right w:val="single" w:sz="4" w:space="0" w:color="auto"/>
            </w:tcBorders>
            <w:shd w:val="clear" w:color="auto" w:fill="auto"/>
            <w:noWrap/>
            <w:vAlign w:val="center"/>
            <w:hideMark/>
          </w:tcPr>
          <w:p w14:paraId="42C5A445"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0.138 </w:t>
            </w:r>
          </w:p>
        </w:tc>
        <w:tc>
          <w:tcPr>
            <w:tcW w:w="1540" w:type="dxa"/>
            <w:tcBorders>
              <w:top w:val="nil"/>
              <w:left w:val="nil"/>
              <w:bottom w:val="single" w:sz="4" w:space="0" w:color="auto"/>
              <w:right w:val="single" w:sz="4" w:space="0" w:color="auto"/>
            </w:tcBorders>
            <w:shd w:val="clear" w:color="auto" w:fill="auto"/>
            <w:noWrap/>
            <w:vAlign w:val="center"/>
            <w:hideMark/>
          </w:tcPr>
          <w:p w14:paraId="333BB1CD"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2,340</w:t>
            </w:r>
          </w:p>
        </w:tc>
      </w:tr>
      <w:tr w:rsidR="0032335C" w:rsidRPr="00C63A39" w14:paraId="4F825B84"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4915F4E9" w14:textId="6D6AEC25" w:rsidR="0032335C" w:rsidRPr="00C63A39" w:rsidRDefault="0032335C" w:rsidP="0032335C">
            <w:pPr>
              <w:rPr>
                <w:kern w:val="22"/>
                <w:szCs w:val="22"/>
                <w:lang w:val="fr-FR" w:eastAsia="en-CA"/>
              </w:rPr>
            </w:pPr>
            <w:r w:rsidRPr="00C63A39">
              <w:rPr>
                <w:szCs w:val="22"/>
                <w:lang w:val="fr-FR"/>
              </w:rPr>
              <w:t>Égypte</w:t>
            </w:r>
          </w:p>
        </w:tc>
        <w:tc>
          <w:tcPr>
            <w:tcW w:w="1540" w:type="dxa"/>
            <w:tcBorders>
              <w:top w:val="nil"/>
              <w:left w:val="nil"/>
              <w:bottom w:val="single" w:sz="4" w:space="0" w:color="auto"/>
              <w:right w:val="single" w:sz="4" w:space="0" w:color="auto"/>
            </w:tcBorders>
            <w:shd w:val="clear" w:color="auto" w:fill="auto"/>
            <w:vAlign w:val="center"/>
            <w:hideMark/>
          </w:tcPr>
          <w:p w14:paraId="6A61706C"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0.186 </w:t>
            </w:r>
          </w:p>
        </w:tc>
        <w:tc>
          <w:tcPr>
            <w:tcW w:w="1540" w:type="dxa"/>
            <w:tcBorders>
              <w:top w:val="nil"/>
              <w:left w:val="nil"/>
              <w:bottom w:val="single" w:sz="4" w:space="0" w:color="auto"/>
              <w:right w:val="single" w:sz="4" w:space="0" w:color="auto"/>
            </w:tcBorders>
            <w:shd w:val="clear" w:color="auto" w:fill="auto"/>
            <w:noWrap/>
            <w:vAlign w:val="center"/>
            <w:hideMark/>
          </w:tcPr>
          <w:p w14:paraId="3722E103"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0.321 </w:t>
            </w:r>
          </w:p>
        </w:tc>
        <w:tc>
          <w:tcPr>
            <w:tcW w:w="1540" w:type="dxa"/>
            <w:tcBorders>
              <w:top w:val="nil"/>
              <w:left w:val="nil"/>
              <w:bottom w:val="single" w:sz="4" w:space="0" w:color="auto"/>
              <w:right w:val="single" w:sz="4" w:space="0" w:color="auto"/>
            </w:tcBorders>
            <w:shd w:val="clear" w:color="auto" w:fill="auto"/>
            <w:noWrap/>
            <w:vAlign w:val="center"/>
            <w:hideMark/>
          </w:tcPr>
          <w:p w14:paraId="501EFAA5"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5,439</w:t>
            </w:r>
          </w:p>
        </w:tc>
      </w:tr>
      <w:tr w:rsidR="0032335C" w:rsidRPr="00C63A39" w14:paraId="730940FA"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56FDAD0B" w14:textId="1C74708E" w:rsidR="0032335C" w:rsidRPr="00C63A39" w:rsidRDefault="0032335C" w:rsidP="0032335C">
            <w:pPr>
              <w:rPr>
                <w:kern w:val="22"/>
                <w:szCs w:val="22"/>
                <w:lang w:val="fr-FR" w:eastAsia="en-CA"/>
              </w:rPr>
            </w:pPr>
            <w:r w:rsidRPr="00C63A39">
              <w:rPr>
                <w:szCs w:val="22"/>
                <w:lang w:val="fr-FR"/>
              </w:rPr>
              <w:t>Érythrée</w:t>
            </w:r>
          </w:p>
        </w:tc>
        <w:tc>
          <w:tcPr>
            <w:tcW w:w="1540" w:type="dxa"/>
            <w:tcBorders>
              <w:top w:val="nil"/>
              <w:left w:val="nil"/>
              <w:bottom w:val="single" w:sz="4" w:space="0" w:color="auto"/>
              <w:right w:val="single" w:sz="4" w:space="0" w:color="auto"/>
            </w:tcBorders>
            <w:shd w:val="clear" w:color="auto" w:fill="auto"/>
            <w:vAlign w:val="center"/>
            <w:hideMark/>
          </w:tcPr>
          <w:p w14:paraId="5CE473E2"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433E8CBA"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51A99D6D"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29</w:t>
            </w:r>
          </w:p>
        </w:tc>
      </w:tr>
      <w:tr w:rsidR="0032335C" w:rsidRPr="00C63A39" w14:paraId="2C014007"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450EA39E" w14:textId="63884B29" w:rsidR="0032335C" w:rsidRPr="00C63A39" w:rsidRDefault="0032335C" w:rsidP="0032335C">
            <w:pPr>
              <w:rPr>
                <w:kern w:val="22"/>
                <w:szCs w:val="22"/>
                <w:lang w:val="fr-FR" w:eastAsia="en-CA"/>
              </w:rPr>
            </w:pPr>
            <w:r w:rsidRPr="00C63A39">
              <w:rPr>
                <w:szCs w:val="22"/>
                <w:lang w:val="fr-FR"/>
              </w:rPr>
              <w:t>Estonie</w:t>
            </w:r>
          </w:p>
        </w:tc>
        <w:tc>
          <w:tcPr>
            <w:tcW w:w="1540" w:type="dxa"/>
            <w:tcBorders>
              <w:top w:val="nil"/>
              <w:left w:val="nil"/>
              <w:bottom w:val="single" w:sz="4" w:space="0" w:color="auto"/>
              <w:right w:val="single" w:sz="4" w:space="0" w:color="auto"/>
            </w:tcBorders>
            <w:shd w:val="clear" w:color="auto" w:fill="auto"/>
            <w:vAlign w:val="center"/>
            <w:hideMark/>
          </w:tcPr>
          <w:p w14:paraId="5DA7B458"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0.039 </w:t>
            </w:r>
          </w:p>
        </w:tc>
        <w:tc>
          <w:tcPr>
            <w:tcW w:w="1540" w:type="dxa"/>
            <w:tcBorders>
              <w:top w:val="nil"/>
              <w:left w:val="nil"/>
              <w:bottom w:val="single" w:sz="4" w:space="0" w:color="auto"/>
              <w:right w:val="single" w:sz="4" w:space="0" w:color="auto"/>
            </w:tcBorders>
            <w:shd w:val="clear" w:color="auto" w:fill="auto"/>
            <w:noWrap/>
            <w:vAlign w:val="center"/>
            <w:hideMark/>
          </w:tcPr>
          <w:p w14:paraId="05BE8CE8"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0.067 </w:t>
            </w:r>
          </w:p>
        </w:tc>
        <w:tc>
          <w:tcPr>
            <w:tcW w:w="1540" w:type="dxa"/>
            <w:tcBorders>
              <w:top w:val="nil"/>
              <w:left w:val="nil"/>
              <w:bottom w:val="single" w:sz="4" w:space="0" w:color="auto"/>
              <w:right w:val="single" w:sz="4" w:space="0" w:color="auto"/>
            </w:tcBorders>
            <w:shd w:val="clear" w:color="auto" w:fill="auto"/>
            <w:noWrap/>
            <w:vAlign w:val="center"/>
            <w:hideMark/>
          </w:tcPr>
          <w:p w14:paraId="7A305A33"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1,141</w:t>
            </w:r>
          </w:p>
        </w:tc>
      </w:tr>
      <w:tr w:rsidR="0032335C" w:rsidRPr="00C63A39" w14:paraId="535B6379"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47021CCB" w14:textId="7D2806D6" w:rsidR="0032335C" w:rsidRPr="00C63A39" w:rsidRDefault="0032335C" w:rsidP="0032335C">
            <w:pPr>
              <w:rPr>
                <w:kern w:val="22"/>
                <w:szCs w:val="22"/>
                <w:lang w:val="fr-FR" w:eastAsia="en-CA"/>
              </w:rPr>
            </w:pPr>
            <w:r w:rsidRPr="00C63A39">
              <w:rPr>
                <w:szCs w:val="22"/>
                <w:lang w:val="fr-FR"/>
              </w:rPr>
              <w:t>Eswatini</w:t>
            </w:r>
          </w:p>
        </w:tc>
        <w:tc>
          <w:tcPr>
            <w:tcW w:w="1540" w:type="dxa"/>
            <w:tcBorders>
              <w:top w:val="nil"/>
              <w:left w:val="nil"/>
              <w:bottom w:val="single" w:sz="4" w:space="0" w:color="auto"/>
              <w:right w:val="single" w:sz="4" w:space="0" w:color="auto"/>
            </w:tcBorders>
            <w:shd w:val="clear" w:color="auto" w:fill="auto"/>
            <w:vAlign w:val="center"/>
            <w:hideMark/>
          </w:tcPr>
          <w:p w14:paraId="37175FD4"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16C417D1"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7BD2718F"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58</w:t>
            </w:r>
          </w:p>
        </w:tc>
      </w:tr>
      <w:tr w:rsidR="0032335C" w:rsidRPr="00C63A39" w14:paraId="57F2B0D3"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740401C7" w14:textId="7544806B" w:rsidR="0032335C" w:rsidRPr="00C63A39" w:rsidRDefault="0032335C" w:rsidP="0032335C">
            <w:pPr>
              <w:rPr>
                <w:kern w:val="22"/>
                <w:szCs w:val="22"/>
                <w:lang w:val="fr-FR" w:eastAsia="en-CA"/>
              </w:rPr>
            </w:pPr>
            <w:r w:rsidRPr="00C63A39">
              <w:rPr>
                <w:szCs w:val="22"/>
                <w:lang w:val="fr-FR"/>
              </w:rPr>
              <w:t>Éthiopie</w:t>
            </w:r>
          </w:p>
        </w:tc>
        <w:tc>
          <w:tcPr>
            <w:tcW w:w="1540" w:type="dxa"/>
            <w:tcBorders>
              <w:top w:val="nil"/>
              <w:left w:val="nil"/>
              <w:bottom w:val="single" w:sz="4" w:space="0" w:color="auto"/>
              <w:right w:val="single" w:sz="4" w:space="0" w:color="auto"/>
            </w:tcBorders>
            <w:shd w:val="clear" w:color="auto" w:fill="auto"/>
            <w:vAlign w:val="center"/>
            <w:hideMark/>
          </w:tcPr>
          <w:p w14:paraId="58C533EA"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20658555"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71B8C1E0"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170</w:t>
            </w:r>
          </w:p>
        </w:tc>
      </w:tr>
      <w:tr w:rsidR="0032335C" w:rsidRPr="00C63A39" w14:paraId="4070F295"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147671A3" w14:textId="67042933" w:rsidR="0032335C" w:rsidRPr="00C63A39" w:rsidRDefault="0032335C" w:rsidP="0032335C">
            <w:pPr>
              <w:rPr>
                <w:kern w:val="22"/>
                <w:szCs w:val="22"/>
                <w:lang w:val="fr-FR" w:eastAsia="en-CA"/>
              </w:rPr>
            </w:pPr>
            <w:r w:rsidRPr="00C63A39">
              <w:rPr>
                <w:szCs w:val="22"/>
                <w:lang w:val="fr-FR"/>
              </w:rPr>
              <w:t>Union européenne</w:t>
            </w:r>
          </w:p>
        </w:tc>
        <w:tc>
          <w:tcPr>
            <w:tcW w:w="1540" w:type="dxa"/>
            <w:tcBorders>
              <w:top w:val="nil"/>
              <w:left w:val="nil"/>
              <w:bottom w:val="single" w:sz="4" w:space="0" w:color="auto"/>
              <w:right w:val="single" w:sz="4" w:space="0" w:color="auto"/>
            </w:tcBorders>
            <w:shd w:val="clear" w:color="auto" w:fill="auto"/>
            <w:vAlign w:val="center"/>
            <w:hideMark/>
          </w:tcPr>
          <w:p w14:paraId="1EF22BAB" w14:textId="77777777" w:rsidR="0032335C" w:rsidRPr="00C63A39" w:rsidRDefault="0032335C" w:rsidP="0032335C">
            <w:pPr>
              <w:rPr>
                <w:color w:val="000000"/>
                <w:kern w:val="22"/>
                <w:szCs w:val="22"/>
                <w:lang w:val="fr-FR" w:eastAsia="en-CA"/>
              </w:rPr>
            </w:pPr>
            <w:r w:rsidRPr="00C63A39">
              <w:rPr>
                <w:color w:val="000000"/>
                <w:kern w:val="22"/>
                <w:szCs w:val="22"/>
                <w:lang w:val="fr-FR" w:eastAsia="en-CA"/>
              </w:rPr>
              <w:t> </w:t>
            </w:r>
          </w:p>
        </w:tc>
        <w:tc>
          <w:tcPr>
            <w:tcW w:w="1540" w:type="dxa"/>
            <w:tcBorders>
              <w:top w:val="nil"/>
              <w:left w:val="nil"/>
              <w:bottom w:val="single" w:sz="4" w:space="0" w:color="auto"/>
              <w:right w:val="single" w:sz="4" w:space="0" w:color="auto"/>
            </w:tcBorders>
            <w:shd w:val="clear" w:color="auto" w:fill="auto"/>
            <w:noWrap/>
            <w:vAlign w:val="center"/>
            <w:hideMark/>
          </w:tcPr>
          <w:p w14:paraId="4B821477"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2.500 </w:t>
            </w:r>
          </w:p>
        </w:tc>
        <w:tc>
          <w:tcPr>
            <w:tcW w:w="1540" w:type="dxa"/>
            <w:tcBorders>
              <w:top w:val="nil"/>
              <w:left w:val="nil"/>
              <w:bottom w:val="single" w:sz="4" w:space="0" w:color="auto"/>
              <w:right w:val="single" w:sz="4" w:space="0" w:color="auto"/>
            </w:tcBorders>
            <w:shd w:val="clear" w:color="auto" w:fill="auto"/>
            <w:noWrap/>
            <w:vAlign w:val="center"/>
            <w:hideMark/>
          </w:tcPr>
          <w:p w14:paraId="5857EECC"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42,375</w:t>
            </w:r>
          </w:p>
        </w:tc>
      </w:tr>
      <w:tr w:rsidR="0032335C" w:rsidRPr="00C63A39" w14:paraId="7AA39C32"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48171C3D" w14:textId="0ABDDCD0" w:rsidR="0032335C" w:rsidRPr="00C63A39" w:rsidRDefault="0032335C" w:rsidP="0032335C">
            <w:pPr>
              <w:rPr>
                <w:kern w:val="22"/>
                <w:szCs w:val="22"/>
                <w:lang w:val="fr-FR" w:eastAsia="en-CA"/>
              </w:rPr>
            </w:pPr>
            <w:r w:rsidRPr="00C63A39">
              <w:rPr>
                <w:szCs w:val="22"/>
                <w:lang w:val="fr-FR"/>
              </w:rPr>
              <w:t>Fidji</w:t>
            </w:r>
          </w:p>
        </w:tc>
        <w:tc>
          <w:tcPr>
            <w:tcW w:w="1540" w:type="dxa"/>
            <w:tcBorders>
              <w:top w:val="nil"/>
              <w:left w:val="nil"/>
              <w:bottom w:val="single" w:sz="4" w:space="0" w:color="auto"/>
              <w:right w:val="single" w:sz="4" w:space="0" w:color="auto"/>
            </w:tcBorders>
            <w:shd w:val="clear" w:color="auto" w:fill="auto"/>
            <w:vAlign w:val="center"/>
            <w:hideMark/>
          </w:tcPr>
          <w:p w14:paraId="39A32F65"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445E0A5C"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14:paraId="66C04F00"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88</w:t>
            </w:r>
          </w:p>
        </w:tc>
      </w:tr>
      <w:tr w:rsidR="0032335C" w:rsidRPr="00C63A39" w14:paraId="3ECE69D5"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71AC2B43" w14:textId="3A1201C4" w:rsidR="0032335C" w:rsidRPr="00C63A39" w:rsidRDefault="0032335C" w:rsidP="0032335C">
            <w:pPr>
              <w:rPr>
                <w:kern w:val="22"/>
                <w:szCs w:val="22"/>
                <w:lang w:val="fr-FR" w:eastAsia="en-CA"/>
              </w:rPr>
            </w:pPr>
            <w:r w:rsidRPr="00C63A39">
              <w:rPr>
                <w:szCs w:val="22"/>
                <w:lang w:val="fr-FR"/>
              </w:rPr>
              <w:t>Finlande</w:t>
            </w:r>
          </w:p>
        </w:tc>
        <w:tc>
          <w:tcPr>
            <w:tcW w:w="1540" w:type="dxa"/>
            <w:tcBorders>
              <w:top w:val="nil"/>
              <w:left w:val="nil"/>
              <w:bottom w:val="single" w:sz="4" w:space="0" w:color="auto"/>
              <w:right w:val="single" w:sz="4" w:space="0" w:color="auto"/>
            </w:tcBorders>
            <w:shd w:val="clear" w:color="auto" w:fill="auto"/>
            <w:vAlign w:val="center"/>
            <w:hideMark/>
          </w:tcPr>
          <w:p w14:paraId="7504A857"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0.421 </w:t>
            </w:r>
          </w:p>
        </w:tc>
        <w:tc>
          <w:tcPr>
            <w:tcW w:w="1540" w:type="dxa"/>
            <w:tcBorders>
              <w:top w:val="nil"/>
              <w:left w:val="nil"/>
              <w:bottom w:val="single" w:sz="4" w:space="0" w:color="auto"/>
              <w:right w:val="single" w:sz="4" w:space="0" w:color="auto"/>
            </w:tcBorders>
            <w:shd w:val="clear" w:color="auto" w:fill="auto"/>
            <w:noWrap/>
            <w:vAlign w:val="center"/>
            <w:hideMark/>
          </w:tcPr>
          <w:p w14:paraId="4EBB0D50"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0.726 </w:t>
            </w:r>
          </w:p>
        </w:tc>
        <w:tc>
          <w:tcPr>
            <w:tcW w:w="1540" w:type="dxa"/>
            <w:tcBorders>
              <w:top w:val="nil"/>
              <w:left w:val="nil"/>
              <w:bottom w:val="single" w:sz="4" w:space="0" w:color="auto"/>
              <w:right w:val="single" w:sz="4" w:space="0" w:color="auto"/>
            </w:tcBorders>
            <w:shd w:val="clear" w:color="auto" w:fill="auto"/>
            <w:noWrap/>
            <w:vAlign w:val="center"/>
            <w:hideMark/>
          </w:tcPr>
          <w:p w14:paraId="78FA8BB4"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12,312</w:t>
            </w:r>
          </w:p>
        </w:tc>
      </w:tr>
      <w:tr w:rsidR="0032335C" w:rsidRPr="00C63A39" w14:paraId="08F16BE5"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0FBEEA85" w14:textId="5CCCB76C" w:rsidR="0032335C" w:rsidRPr="00C63A39" w:rsidRDefault="0032335C" w:rsidP="0032335C">
            <w:pPr>
              <w:rPr>
                <w:kern w:val="22"/>
                <w:szCs w:val="22"/>
                <w:lang w:val="fr-FR" w:eastAsia="en-CA"/>
              </w:rPr>
            </w:pPr>
            <w:r w:rsidRPr="00C63A39">
              <w:rPr>
                <w:szCs w:val="22"/>
                <w:lang w:val="fr-FR"/>
              </w:rPr>
              <w:t>France</w:t>
            </w:r>
          </w:p>
        </w:tc>
        <w:tc>
          <w:tcPr>
            <w:tcW w:w="1540" w:type="dxa"/>
            <w:tcBorders>
              <w:top w:val="nil"/>
              <w:left w:val="nil"/>
              <w:bottom w:val="single" w:sz="4" w:space="0" w:color="auto"/>
              <w:right w:val="single" w:sz="4" w:space="0" w:color="auto"/>
            </w:tcBorders>
            <w:shd w:val="clear" w:color="auto" w:fill="auto"/>
            <w:vAlign w:val="center"/>
            <w:hideMark/>
          </w:tcPr>
          <w:p w14:paraId="2A37B780"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4.427 </w:t>
            </w:r>
          </w:p>
        </w:tc>
        <w:tc>
          <w:tcPr>
            <w:tcW w:w="1540" w:type="dxa"/>
            <w:tcBorders>
              <w:top w:val="nil"/>
              <w:left w:val="nil"/>
              <w:bottom w:val="single" w:sz="4" w:space="0" w:color="auto"/>
              <w:right w:val="single" w:sz="4" w:space="0" w:color="auto"/>
            </w:tcBorders>
            <w:shd w:val="clear" w:color="auto" w:fill="auto"/>
            <w:noWrap/>
            <w:vAlign w:val="center"/>
            <w:hideMark/>
          </w:tcPr>
          <w:p w14:paraId="36877268"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7.638 </w:t>
            </w:r>
          </w:p>
        </w:tc>
        <w:tc>
          <w:tcPr>
            <w:tcW w:w="1540" w:type="dxa"/>
            <w:tcBorders>
              <w:top w:val="nil"/>
              <w:left w:val="nil"/>
              <w:bottom w:val="single" w:sz="4" w:space="0" w:color="auto"/>
              <w:right w:val="single" w:sz="4" w:space="0" w:color="auto"/>
            </w:tcBorders>
            <w:shd w:val="clear" w:color="auto" w:fill="auto"/>
            <w:noWrap/>
            <w:vAlign w:val="center"/>
            <w:hideMark/>
          </w:tcPr>
          <w:p w14:paraId="053CCF82"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129,464</w:t>
            </w:r>
          </w:p>
        </w:tc>
      </w:tr>
      <w:tr w:rsidR="0032335C" w:rsidRPr="00C63A39" w14:paraId="7B3F23EB"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30C4F67A" w14:textId="4CEDFCE4" w:rsidR="0032335C" w:rsidRPr="00C63A39" w:rsidRDefault="0032335C" w:rsidP="0032335C">
            <w:pPr>
              <w:rPr>
                <w:kern w:val="22"/>
                <w:szCs w:val="22"/>
                <w:lang w:val="fr-FR" w:eastAsia="en-CA"/>
              </w:rPr>
            </w:pPr>
            <w:r w:rsidRPr="00C63A39">
              <w:rPr>
                <w:szCs w:val="22"/>
                <w:lang w:val="fr-FR"/>
              </w:rPr>
              <w:t>Gabon</w:t>
            </w:r>
          </w:p>
        </w:tc>
        <w:tc>
          <w:tcPr>
            <w:tcW w:w="1540" w:type="dxa"/>
            <w:tcBorders>
              <w:top w:val="nil"/>
              <w:left w:val="nil"/>
              <w:bottom w:val="single" w:sz="4" w:space="0" w:color="auto"/>
              <w:right w:val="single" w:sz="4" w:space="0" w:color="auto"/>
            </w:tcBorders>
            <w:shd w:val="clear" w:color="auto" w:fill="auto"/>
            <w:vAlign w:val="center"/>
            <w:hideMark/>
          </w:tcPr>
          <w:p w14:paraId="0F306856"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0.015 </w:t>
            </w:r>
          </w:p>
        </w:tc>
        <w:tc>
          <w:tcPr>
            <w:tcW w:w="1540" w:type="dxa"/>
            <w:tcBorders>
              <w:top w:val="nil"/>
              <w:left w:val="nil"/>
              <w:bottom w:val="single" w:sz="4" w:space="0" w:color="auto"/>
              <w:right w:val="single" w:sz="4" w:space="0" w:color="auto"/>
            </w:tcBorders>
            <w:shd w:val="clear" w:color="auto" w:fill="auto"/>
            <w:noWrap/>
            <w:vAlign w:val="center"/>
            <w:hideMark/>
          </w:tcPr>
          <w:p w14:paraId="4F1F5FB1"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0.026 </w:t>
            </w:r>
          </w:p>
        </w:tc>
        <w:tc>
          <w:tcPr>
            <w:tcW w:w="1540" w:type="dxa"/>
            <w:tcBorders>
              <w:top w:val="nil"/>
              <w:left w:val="nil"/>
              <w:bottom w:val="single" w:sz="4" w:space="0" w:color="auto"/>
              <w:right w:val="single" w:sz="4" w:space="0" w:color="auto"/>
            </w:tcBorders>
            <w:shd w:val="clear" w:color="auto" w:fill="auto"/>
            <w:noWrap/>
            <w:vAlign w:val="center"/>
            <w:hideMark/>
          </w:tcPr>
          <w:p w14:paraId="01A6E8D7"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439</w:t>
            </w:r>
          </w:p>
        </w:tc>
      </w:tr>
      <w:tr w:rsidR="0032335C" w:rsidRPr="00C63A39" w14:paraId="28BE1201"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4051E7D5" w14:textId="1720BA9C" w:rsidR="0032335C" w:rsidRPr="00C63A39" w:rsidRDefault="0032335C" w:rsidP="0032335C">
            <w:pPr>
              <w:rPr>
                <w:kern w:val="22"/>
                <w:szCs w:val="22"/>
                <w:lang w:val="fr-FR" w:eastAsia="en-CA"/>
              </w:rPr>
            </w:pPr>
            <w:r w:rsidRPr="00C63A39">
              <w:rPr>
                <w:szCs w:val="22"/>
                <w:lang w:val="fr-FR"/>
              </w:rPr>
              <w:t>Gambie</w:t>
            </w:r>
          </w:p>
        </w:tc>
        <w:tc>
          <w:tcPr>
            <w:tcW w:w="1540" w:type="dxa"/>
            <w:tcBorders>
              <w:top w:val="nil"/>
              <w:left w:val="nil"/>
              <w:bottom w:val="single" w:sz="4" w:space="0" w:color="auto"/>
              <w:right w:val="single" w:sz="4" w:space="0" w:color="auto"/>
            </w:tcBorders>
            <w:shd w:val="clear" w:color="auto" w:fill="auto"/>
            <w:vAlign w:val="center"/>
            <w:hideMark/>
          </w:tcPr>
          <w:p w14:paraId="2137A654"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6EF4B716"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3D20A747"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29</w:t>
            </w:r>
          </w:p>
        </w:tc>
      </w:tr>
      <w:tr w:rsidR="0032335C" w:rsidRPr="00C63A39" w14:paraId="12B79D3D"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1EC58795" w14:textId="6CB09460" w:rsidR="0032335C" w:rsidRPr="00C63A39" w:rsidRDefault="0032335C" w:rsidP="0032335C">
            <w:pPr>
              <w:rPr>
                <w:kern w:val="22"/>
                <w:szCs w:val="22"/>
                <w:lang w:val="fr-FR" w:eastAsia="en-CA"/>
              </w:rPr>
            </w:pPr>
            <w:r w:rsidRPr="00C63A39">
              <w:rPr>
                <w:szCs w:val="22"/>
                <w:lang w:val="fr-FR"/>
              </w:rPr>
              <w:t>Allemagne</w:t>
            </w:r>
          </w:p>
        </w:tc>
        <w:tc>
          <w:tcPr>
            <w:tcW w:w="1540" w:type="dxa"/>
            <w:tcBorders>
              <w:top w:val="nil"/>
              <w:left w:val="nil"/>
              <w:bottom w:val="single" w:sz="4" w:space="0" w:color="auto"/>
              <w:right w:val="single" w:sz="4" w:space="0" w:color="auto"/>
            </w:tcBorders>
            <w:shd w:val="clear" w:color="auto" w:fill="auto"/>
            <w:vAlign w:val="center"/>
            <w:hideMark/>
          </w:tcPr>
          <w:p w14:paraId="1AEF2317"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6.090 </w:t>
            </w:r>
          </w:p>
        </w:tc>
        <w:tc>
          <w:tcPr>
            <w:tcW w:w="1540" w:type="dxa"/>
            <w:tcBorders>
              <w:top w:val="nil"/>
              <w:left w:val="nil"/>
              <w:bottom w:val="single" w:sz="4" w:space="0" w:color="auto"/>
              <w:right w:val="single" w:sz="4" w:space="0" w:color="auto"/>
            </w:tcBorders>
            <w:shd w:val="clear" w:color="auto" w:fill="auto"/>
            <w:noWrap/>
            <w:vAlign w:val="center"/>
            <w:hideMark/>
          </w:tcPr>
          <w:p w14:paraId="6321F987"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10.507 </w:t>
            </w:r>
          </w:p>
        </w:tc>
        <w:tc>
          <w:tcPr>
            <w:tcW w:w="1540" w:type="dxa"/>
            <w:tcBorders>
              <w:top w:val="nil"/>
              <w:left w:val="nil"/>
              <w:bottom w:val="single" w:sz="4" w:space="0" w:color="auto"/>
              <w:right w:val="single" w:sz="4" w:space="0" w:color="auto"/>
            </w:tcBorders>
            <w:shd w:val="clear" w:color="auto" w:fill="auto"/>
            <w:noWrap/>
            <w:vAlign w:val="center"/>
            <w:hideMark/>
          </w:tcPr>
          <w:p w14:paraId="296E9785"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178,097</w:t>
            </w:r>
          </w:p>
        </w:tc>
      </w:tr>
      <w:tr w:rsidR="0032335C" w:rsidRPr="00C63A39" w14:paraId="42D0BB6E"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2917F16C" w14:textId="2391A81E" w:rsidR="0032335C" w:rsidRPr="00C63A39" w:rsidRDefault="0032335C" w:rsidP="0032335C">
            <w:pPr>
              <w:rPr>
                <w:kern w:val="22"/>
                <w:szCs w:val="22"/>
                <w:lang w:val="fr-FR" w:eastAsia="en-CA"/>
              </w:rPr>
            </w:pPr>
            <w:r w:rsidRPr="00C63A39">
              <w:rPr>
                <w:szCs w:val="22"/>
                <w:lang w:val="fr-FR"/>
              </w:rPr>
              <w:t>Ghana</w:t>
            </w:r>
          </w:p>
        </w:tc>
        <w:tc>
          <w:tcPr>
            <w:tcW w:w="1540" w:type="dxa"/>
            <w:tcBorders>
              <w:top w:val="nil"/>
              <w:left w:val="nil"/>
              <w:bottom w:val="single" w:sz="4" w:space="0" w:color="auto"/>
              <w:right w:val="single" w:sz="4" w:space="0" w:color="auto"/>
            </w:tcBorders>
            <w:shd w:val="clear" w:color="auto" w:fill="auto"/>
            <w:vAlign w:val="center"/>
            <w:hideMark/>
          </w:tcPr>
          <w:p w14:paraId="169581EC"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0.015 </w:t>
            </w:r>
          </w:p>
        </w:tc>
        <w:tc>
          <w:tcPr>
            <w:tcW w:w="1540" w:type="dxa"/>
            <w:tcBorders>
              <w:top w:val="nil"/>
              <w:left w:val="nil"/>
              <w:bottom w:val="single" w:sz="4" w:space="0" w:color="auto"/>
              <w:right w:val="single" w:sz="4" w:space="0" w:color="auto"/>
            </w:tcBorders>
            <w:shd w:val="clear" w:color="auto" w:fill="auto"/>
            <w:noWrap/>
            <w:vAlign w:val="center"/>
            <w:hideMark/>
          </w:tcPr>
          <w:p w14:paraId="00A5EB5E"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0.026 </w:t>
            </w:r>
          </w:p>
        </w:tc>
        <w:tc>
          <w:tcPr>
            <w:tcW w:w="1540" w:type="dxa"/>
            <w:tcBorders>
              <w:top w:val="nil"/>
              <w:left w:val="nil"/>
              <w:bottom w:val="single" w:sz="4" w:space="0" w:color="auto"/>
              <w:right w:val="single" w:sz="4" w:space="0" w:color="auto"/>
            </w:tcBorders>
            <w:shd w:val="clear" w:color="auto" w:fill="auto"/>
            <w:noWrap/>
            <w:vAlign w:val="center"/>
            <w:hideMark/>
          </w:tcPr>
          <w:p w14:paraId="78432433"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439</w:t>
            </w:r>
          </w:p>
        </w:tc>
      </w:tr>
      <w:tr w:rsidR="0032335C" w:rsidRPr="00C63A39" w14:paraId="3C1E1D1A"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5CB33690" w14:textId="4E224FEA" w:rsidR="0032335C" w:rsidRPr="00C63A39" w:rsidRDefault="0032335C" w:rsidP="0032335C">
            <w:pPr>
              <w:rPr>
                <w:kern w:val="22"/>
                <w:szCs w:val="22"/>
                <w:lang w:val="fr-FR" w:eastAsia="en-CA"/>
              </w:rPr>
            </w:pPr>
            <w:r w:rsidRPr="00C63A39">
              <w:rPr>
                <w:szCs w:val="22"/>
                <w:lang w:val="fr-FR"/>
              </w:rPr>
              <w:t>Grèce</w:t>
            </w:r>
          </w:p>
        </w:tc>
        <w:tc>
          <w:tcPr>
            <w:tcW w:w="1540" w:type="dxa"/>
            <w:tcBorders>
              <w:top w:val="nil"/>
              <w:left w:val="nil"/>
              <w:bottom w:val="single" w:sz="4" w:space="0" w:color="auto"/>
              <w:right w:val="single" w:sz="4" w:space="0" w:color="auto"/>
            </w:tcBorders>
            <w:shd w:val="clear" w:color="auto" w:fill="auto"/>
            <w:vAlign w:val="center"/>
            <w:hideMark/>
          </w:tcPr>
          <w:p w14:paraId="624116B7"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0.366 </w:t>
            </w:r>
          </w:p>
        </w:tc>
        <w:tc>
          <w:tcPr>
            <w:tcW w:w="1540" w:type="dxa"/>
            <w:tcBorders>
              <w:top w:val="nil"/>
              <w:left w:val="nil"/>
              <w:bottom w:val="single" w:sz="4" w:space="0" w:color="auto"/>
              <w:right w:val="single" w:sz="4" w:space="0" w:color="auto"/>
            </w:tcBorders>
            <w:shd w:val="clear" w:color="auto" w:fill="auto"/>
            <w:noWrap/>
            <w:vAlign w:val="center"/>
            <w:hideMark/>
          </w:tcPr>
          <w:p w14:paraId="7611539A"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0.631 </w:t>
            </w:r>
          </w:p>
        </w:tc>
        <w:tc>
          <w:tcPr>
            <w:tcW w:w="1540" w:type="dxa"/>
            <w:tcBorders>
              <w:top w:val="nil"/>
              <w:left w:val="nil"/>
              <w:bottom w:val="single" w:sz="4" w:space="0" w:color="auto"/>
              <w:right w:val="single" w:sz="4" w:space="0" w:color="auto"/>
            </w:tcBorders>
            <w:shd w:val="clear" w:color="auto" w:fill="auto"/>
            <w:noWrap/>
            <w:vAlign w:val="center"/>
            <w:hideMark/>
          </w:tcPr>
          <w:p w14:paraId="11C13515"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10,703</w:t>
            </w:r>
          </w:p>
        </w:tc>
      </w:tr>
      <w:tr w:rsidR="0032335C" w:rsidRPr="00C63A39" w14:paraId="09BA6843"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6A4F4A4E" w14:textId="37AB32F6" w:rsidR="0032335C" w:rsidRPr="00C63A39" w:rsidRDefault="0032335C" w:rsidP="0032335C">
            <w:pPr>
              <w:rPr>
                <w:kern w:val="22"/>
                <w:szCs w:val="22"/>
                <w:lang w:val="fr-FR" w:eastAsia="en-CA"/>
              </w:rPr>
            </w:pPr>
            <w:r w:rsidRPr="00C63A39">
              <w:rPr>
                <w:szCs w:val="22"/>
                <w:lang w:val="fr-FR"/>
              </w:rPr>
              <w:t>Guatemala</w:t>
            </w:r>
          </w:p>
        </w:tc>
        <w:tc>
          <w:tcPr>
            <w:tcW w:w="1540" w:type="dxa"/>
            <w:tcBorders>
              <w:top w:val="nil"/>
              <w:left w:val="nil"/>
              <w:bottom w:val="single" w:sz="4" w:space="0" w:color="auto"/>
              <w:right w:val="single" w:sz="4" w:space="0" w:color="auto"/>
            </w:tcBorders>
            <w:shd w:val="clear" w:color="auto" w:fill="auto"/>
            <w:vAlign w:val="center"/>
            <w:hideMark/>
          </w:tcPr>
          <w:p w14:paraId="7EE286B2"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0.036 </w:t>
            </w:r>
          </w:p>
        </w:tc>
        <w:tc>
          <w:tcPr>
            <w:tcW w:w="1540" w:type="dxa"/>
            <w:tcBorders>
              <w:top w:val="nil"/>
              <w:left w:val="nil"/>
              <w:bottom w:val="single" w:sz="4" w:space="0" w:color="auto"/>
              <w:right w:val="single" w:sz="4" w:space="0" w:color="auto"/>
            </w:tcBorders>
            <w:shd w:val="clear" w:color="auto" w:fill="auto"/>
            <w:noWrap/>
            <w:vAlign w:val="center"/>
            <w:hideMark/>
          </w:tcPr>
          <w:p w14:paraId="53565E3D"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0.062 </w:t>
            </w:r>
          </w:p>
        </w:tc>
        <w:tc>
          <w:tcPr>
            <w:tcW w:w="1540" w:type="dxa"/>
            <w:tcBorders>
              <w:top w:val="nil"/>
              <w:left w:val="nil"/>
              <w:bottom w:val="single" w:sz="4" w:space="0" w:color="auto"/>
              <w:right w:val="single" w:sz="4" w:space="0" w:color="auto"/>
            </w:tcBorders>
            <w:shd w:val="clear" w:color="auto" w:fill="auto"/>
            <w:noWrap/>
            <w:vAlign w:val="center"/>
            <w:hideMark/>
          </w:tcPr>
          <w:p w14:paraId="336A2280"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1,053</w:t>
            </w:r>
          </w:p>
        </w:tc>
      </w:tr>
      <w:tr w:rsidR="0032335C" w:rsidRPr="00C63A39" w14:paraId="04D18929"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4F3E8B0F" w14:textId="42273C82" w:rsidR="0032335C" w:rsidRPr="00C63A39" w:rsidRDefault="0032335C" w:rsidP="0032335C">
            <w:pPr>
              <w:rPr>
                <w:kern w:val="22"/>
                <w:szCs w:val="22"/>
                <w:lang w:val="fr-FR" w:eastAsia="en-CA"/>
              </w:rPr>
            </w:pPr>
            <w:r w:rsidRPr="00C63A39">
              <w:rPr>
                <w:szCs w:val="22"/>
                <w:lang w:val="fr-FR"/>
              </w:rPr>
              <w:t>Guinée</w:t>
            </w:r>
          </w:p>
        </w:tc>
        <w:tc>
          <w:tcPr>
            <w:tcW w:w="1540" w:type="dxa"/>
            <w:tcBorders>
              <w:top w:val="nil"/>
              <w:left w:val="nil"/>
              <w:bottom w:val="single" w:sz="4" w:space="0" w:color="auto"/>
              <w:right w:val="single" w:sz="4" w:space="0" w:color="auto"/>
            </w:tcBorders>
            <w:shd w:val="clear" w:color="auto" w:fill="auto"/>
            <w:vAlign w:val="center"/>
            <w:hideMark/>
          </w:tcPr>
          <w:p w14:paraId="2D69AB8C"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49E6DF51"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14:paraId="39120EE0"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88</w:t>
            </w:r>
          </w:p>
        </w:tc>
      </w:tr>
      <w:tr w:rsidR="0032335C" w:rsidRPr="00C63A39" w14:paraId="6137F6C4"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75879EF1" w14:textId="6CF6CCD2" w:rsidR="0032335C" w:rsidRPr="00C63A39" w:rsidRDefault="0032335C" w:rsidP="0032335C">
            <w:pPr>
              <w:rPr>
                <w:kern w:val="22"/>
                <w:szCs w:val="22"/>
                <w:lang w:val="fr-FR" w:eastAsia="en-CA"/>
              </w:rPr>
            </w:pPr>
            <w:r w:rsidRPr="00C63A39">
              <w:rPr>
                <w:szCs w:val="22"/>
                <w:lang w:val="fr-FR"/>
              </w:rPr>
              <w:t>Guinée-Bissau</w:t>
            </w:r>
          </w:p>
        </w:tc>
        <w:tc>
          <w:tcPr>
            <w:tcW w:w="1540" w:type="dxa"/>
            <w:tcBorders>
              <w:top w:val="nil"/>
              <w:left w:val="nil"/>
              <w:bottom w:val="single" w:sz="4" w:space="0" w:color="auto"/>
              <w:right w:val="single" w:sz="4" w:space="0" w:color="auto"/>
            </w:tcBorders>
            <w:shd w:val="clear" w:color="auto" w:fill="auto"/>
            <w:vAlign w:val="center"/>
            <w:hideMark/>
          </w:tcPr>
          <w:p w14:paraId="6EE97477"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0D25EF3F"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0357FAAA"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29</w:t>
            </w:r>
          </w:p>
        </w:tc>
      </w:tr>
      <w:tr w:rsidR="0032335C" w:rsidRPr="00C63A39" w14:paraId="3F4AA6FF"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3B02A115" w14:textId="0A067CB2" w:rsidR="0032335C" w:rsidRPr="00C63A39" w:rsidRDefault="0032335C" w:rsidP="0032335C">
            <w:pPr>
              <w:rPr>
                <w:kern w:val="22"/>
                <w:szCs w:val="22"/>
                <w:lang w:val="fr-FR" w:eastAsia="en-CA"/>
              </w:rPr>
            </w:pPr>
            <w:r w:rsidRPr="00C63A39">
              <w:rPr>
                <w:szCs w:val="22"/>
                <w:lang w:val="fr-FR"/>
              </w:rPr>
              <w:t>Guyane</w:t>
            </w:r>
          </w:p>
        </w:tc>
        <w:tc>
          <w:tcPr>
            <w:tcW w:w="1540" w:type="dxa"/>
            <w:tcBorders>
              <w:top w:val="nil"/>
              <w:left w:val="nil"/>
              <w:bottom w:val="single" w:sz="4" w:space="0" w:color="auto"/>
              <w:right w:val="single" w:sz="4" w:space="0" w:color="auto"/>
            </w:tcBorders>
            <w:shd w:val="clear" w:color="auto" w:fill="auto"/>
            <w:vAlign w:val="center"/>
            <w:hideMark/>
          </w:tcPr>
          <w:p w14:paraId="6EEA8156"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3570B0DC"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3F3DC210"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58</w:t>
            </w:r>
          </w:p>
        </w:tc>
      </w:tr>
      <w:tr w:rsidR="0032335C" w:rsidRPr="00C63A39" w14:paraId="00EB64E9"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2DF54D8B" w14:textId="7FF273D6" w:rsidR="0032335C" w:rsidRPr="00C63A39" w:rsidRDefault="0032335C" w:rsidP="0032335C">
            <w:pPr>
              <w:rPr>
                <w:kern w:val="22"/>
                <w:szCs w:val="22"/>
                <w:lang w:val="fr-FR" w:eastAsia="en-CA"/>
              </w:rPr>
            </w:pPr>
            <w:r w:rsidRPr="00C63A39">
              <w:rPr>
                <w:szCs w:val="22"/>
                <w:lang w:val="fr-FR"/>
              </w:rPr>
              <w:t>Honduras</w:t>
            </w:r>
          </w:p>
        </w:tc>
        <w:tc>
          <w:tcPr>
            <w:tcW w:w="1540" w:type="dxa"/>
            <w:tcBorders>
              <w:top w:val="nil"/>
              <w:left w:val="nil"/>
              <w:bottom w:val="single" w:sz="4" w:space="0" w:color="auto"/>
              <w:right w:val="single" w:sz="4" w:space="0" w:color="auto"/>
            </w:tcBorders>
            <w:shd w:val="clear" w:color="auto" w:fill="auto"/>
            <w:vAlign w:val="center"/>
            <w:hideMark/>
          </w:tcPr>
          <w:p w14:paraId="36AC9D38"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14:paraId="17185160"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0.016 </w:t>
            </w:r>
          </w:p>
        </w:tc>
        <w:tc>
          <w:tcPr>
            <w:tcW w:w="1540" w:type="dxa"/>
            <w:tcBorders>
              <w:top w:val="nil"/>
              <w:left w:val="nil"/>
              <w:bottom w:val="single" w:sz="4" w:space="0" w:color="auto"/>
              <w:right w:val="single" w:sz="4" w:space="0" w:color="auto"/>
            </w:tcBorders>
            <w:shd w:val="clear" w:color="auto" w:fill="auto"/>
            <w:noWrap/>
            <w:vAlign w:val="center"/>
            <w:hideMark/>
          </w:tcPr>
          <w:p w14:paraId="1AF69629"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263</w:t>
            </w:r>
          </w:p>
        </w:tc>
      </w:tr>
      <w:tr w:rsidR="0032335C" w:rsidRPr="00C63A39" w14:paraId="23CEAC14"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618AF318" w14:textId="6E2858C3" w:rsidR="0032335C" w:rsidRPr="00C63A39" w:rsidRDefault="0032335C" w:rsidP="0032335C">
            <w:pPr>
              <w:rPr>
                <w:kern w:val="22"/>
                <w:szCs w:val="22"/>
                <w:lang w:val="fr-FR" w:eastAsia="en-CA"/>
              </w:rPr>
            </w:pPr>
            <w:r w:rsidRPr="00C63A39">
              <w:rPr>
                <w:szCs w:val="22"/>
                <w:lang w:val="fr-FR"/>
              </w:rPr>
              <w:t>Hongrie</w:t>
            </w:r>
          </w:p>
        </w:tc>
        <w:tc>
          <w:tcPr>
            <w:tcW w:w="1540" w:type="dxa"/>
            <w:tcBorders>
              <w:top w:val="nil"/>
              <w:left w:val="nil"/>
              <w:bottom w:val="single" w:sz="4" w:space="0" w:color="auto"/>
              <w:right w:val="single" w:sz="4" w:space="0" w:color="auto"/>
            </w:tcBorders>
            <w:shd w:val="clear" w:color="auto" w:fill="auto"/>
            <w:vAlign w:val="center"/>
            <w:hideMark/>
          </w:tcPr>
          <w:p w14:paraId="2A9CBF41"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0.206 </w:t>
            </w:r>
          </w:p>
        </w:tc>
        <w:tc>
          <w:tcPr>
            <w:tcW w:w="1540" w:type="dxa"/>
            <w:tcBorders>
              <w:top w:val="nil"/>
              <w:left w:val="nil"/>
              <w:bottom w:val="single" w:sz="4" w:space="0" w:color="auto"/>
              <w:right w:val="single" w:sz="4" w:space="0" w:color="auto"/>
            </w:tcBorders>
            <w:shd w:val="clear" w:color="auto" w:fill="auto"/>
            <w:noWrap/>
            <w:vAlign w:val="center"/>
            <w:hideMark/>
          </w:tcPr>
          <w:p w14:paraId="5A61F641"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0.355 </w:t>
            </w:r>
          </w:p>
        </w:tc>
        <w:tc>
          <w:tcPr>
            <w:tcW w:w="1540" w:type="dxa"/>
            <w:tcBorders>
              <w:top w:val="nil"/>
              <w:left w:val="nil"/>
              <w:bottom w:val="single" w:sz="4" w:space="0" w:color="auto"/>
              <w:right w:val="single" w:sz="4" w:space="0" w:color="auto"/>
            </w:tcBorders>
            <w:shd w:val="clear" w:color="auto" w:fill="auto"/>
            <w:noWrap/>
            <w:vAlign w:val="center"/>
            <w:hideMark/>
          </w:tcPr>
          <w:p w14:paraId="7B310D0D"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6,024</w:t>
            </w:r>
          </w:p>
        </w:tc>
      </w:tr>
      <w:tr w:rsidR="0032335C" w:rsidRPr="00C63A39" w14:paraId="69768898"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4AAC3496" w14:textId="2ABCF920" w:rsidR="0032335C" w:rsidRPr="00C63A39" w:rsidRDefault="0032335C" w:rsidP="0032335C">
            <w:pPr>
              <w:rPr>
                <w:kern w:val="22"/>
                <w:szCs w:val="22"/>
                <w:lang w:val="fr-FR" w:eastAsia="en-CA"/>
              </w:rPr>
            </w:pPr>
            <w:r w:rsidRPr="00C63A39">
              <w:rPr>
                <w:szCs w:val="22"/>
                <w:lang w:val="fr-FR"/>
              </w:rPr>
              <w:t>Inde</w:t>
            </w:r>
          </w:p>
        </w:tc>
        <w:tc>
          <w:tcPr>
            <w:tcW w:w="1540" w:type="dxa"/>
            <w:tcBorders>
              <w:top w:val="nil"/>
              <w:left w:val="nil"/>
              <w:bottom w:val="single" w:sz="4" w:space="0" w:color="auto"/>
              <w:right w:val="single" w:sz="4" w:space="0" w:color="auto"/>
            </w:tcBorders>
            <w:shd w:val="clear" w:color="auto" w:fill="auto"/>
            <w:vAlign w:val="center"/>
            <w:hideMark/>
          </w:tcPr>
          <w:p w14:paraId="4B6A369C"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0.834 </w:t>
            </w:r>
          </w:p>
        </w:tc>
        <w:tc>
          <w:tcPr>
            <w:tcW w:w="1540" w:type="dxa"/>
            <w:tcBorders>
              <w:top w:val="nil"/>
              <w:left w:val="nil"/>
              <w:bottom w:val="single" w:sz="4" w:space="0" w:color="auto"/>
              <w:right w:val="single" w:sz="4" w:space="0" w:color="auto"/>
            </w:tcBorders>
            <w:shd w:val="clear" w:color="auto" w:fill="auto"/>
            <w:noWrap/>
            <w:vAlign w:val="center"/>
            <w:hideMark/>
          </w:tcPr>
          <w:p w14:paraId="44BDC986"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1.439 </w:t>
            </w:r>
          </w:p>
        </w:tc>
        <w:tc>
          <w:tcPr>
            <w:tcW w:w="1540" w:type="dxa"/>
            <w:tcBorders>
              <w:top w:val="nil"/>
              <w:left w:val="nil"/>
              <w:bottom w:val="single" w:sz="4" w:space="0" w:color="auto"/>
              <w:right w:val="single" w:sz="4" w:space="0" w:color="auto"/>
            </w:tcBorders>
            <w:shd w:val="clear" w:color="auto" w:fill="auto"/>
            <w:noWrap/>
            <w:vAlign w:val="center"/>
            <w:hideMark/>
          </w:tcPr>
          <w:p w14:paraId="3FE90521"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24,390</w:t>
            </w:r>
          </w:p>
        </w:tc>
      </w:tr>
      <w:tr w:rsidR="0032335C" w:rsidRPr="00C63A39" w14:paraId="2B944488"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0363259C" w14:textId="63B96CC3" w:rsidR="0032335C" w:rsidRPr="00C63A39" w:rsidRDefault="0032335C" w:rsidP="0032335C">
            <w:pPr>
              <w:rPr>
                <w:kern w:val="22"/>
                <w:szCs w:val="22"/>
                <w:lang w:val="fr-FR" w:eastAsia="en-CA"/>
              </w:rPr>
            </w:pPr>
            <w:r w:rsidRPr="00C63A39">
              <w:rPr>
                <w:szCs w:val="22"/>
                <w:lang w:val="fr-FR"/>
              </w:rPr>
              <w:t>Indonésie</w:t>
            </w:r>
          </w:p>
        </w:tc>
        <w:tc>
          <w:tcPr>
            <w:tcW w:w="1540" w:type="dxa"/>
            <w:tcBorders>
              <w:top w:val="nil"/>
              <w:left w:val="nil"/>
              <w:bottom w:val="single" w:sz="4" w:space="0" w:color="auto"/>
              <w:right w:val="single" w:sz="4" w:space="0" w:color="auto"/>
            </w:tcBorders>
            <w:shd w:val="clear" w:color="auto" w:fill="auto"/>
            <w:vAlign w:val="center"/>
            <w:hideMark/>
          </w:tcPr>
          <w:p w14:paraId="0DA684DA"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0.543 </w:t>
            </w:r>
          </w:p>
        </w:tc>
        <w:tc>
          <w:tcPr>
            <w:tcW w:w="1540" w:type="dxa"/>
            <w:tcBorders>
              <w:top w:val="nil"/>
              <w:left w:val="nil"/>
              <w:bottom w:val="single" w:sz="4" w:space="0" w:color="auto"/>
              <w:right w:val="single" w:sz="4" w:space="0" w:color="auto"/>
            </w:tcBorders>
            <w:shd w:val="clear" w:color="auto" w:fill="auto"/>
            <w:noWrap/>
            <w:vAlign w:val="center"/>
            <w:hideMark/>
          </w:tcPr>
          <w:p w14:paraId="484354FE"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0.937 </w:t>
            </w:r>
          </w:p>
        </w:tc>
        <w:tc>
          <w:tcPr>
            <w:tcW w:w="1540" w:type="dxa"/>
            <w:tcBorders>
              <w:top w:val="nil"/>
              <w:left w:val="nil"/>
              <w:bottom w:val="single" w:sz="4" w:space="0" w:color="auto"/>
              <w:right w:val="single" w:sz="4" w:space="0" w:color="auto"/>
            </w:tcBorders>
            <w:shd w:val="clear" w:color="auto" w:fill="auto"/>
            <w:noWrap/>
            <w:vAlign w:val="center"/>
            <w:hideMark/>
          </w:tcPr>
          <w:p w14:paraId="5A207E25"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15,880</w:t>
            </w:r>
          </w:p>
        </w:tc>
      </w:tr>
      <w:tr w:rsidR="0032335C" w:rsidRPr="00C63A39" w14:paraId="636BCDE9"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7215EF3E" w14:textId="7DCC169D" w:rsidR="0032335C" w:rsidRPr="00C63A39" w:rsidRDefault="0032335C" w:rsidP="0032335C">
            <w:pPr>
              <w:rPr>
                <w:kern w:val="22"/>
                <w:szCs w:val="22"/>
                <w:lang w:val="fr-FR" w:eastAsia="en-CA"/>
              </w:rPr>
            </w:pPr>
            <w:r w:rsidRPr="00C63A39">
              <w:rPr>
                <w:szCs w:val="22"/>
                <w:lang w:val="fr-FR"/>
              </w:rPr>
              <w:t>Japon</w:t>
            </w:r>
          </w:p>
        </w:tc>
        <w:tc>
          <w:tcPr>
            <w:tcW w:w="1540" w:type="dxa"/>
            <w:tcBorders>
              <w:top w:val="nil"/>
              <w:left w:val="nil"/>
              <w:bottom w:val="single" w:sz="4" w:space="0" w:color="auto"/>
              <w:right w:val="single" w:sz="4" w:space="0" w:color="auto"/>
            </w:tcBorders>
            <w:shd w:val="clear" w:color="auto" w:fill="auto"/>
            <w:noWrap/>
            <w:vAlign w:val="center"/>
            <w:hideMark/>
          </w:tcPr>
          <w:p w14:paraId="4E88158F"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8.564 </w:t>
            </w:r>
          </w:p>
        </w:tc>
        <w:tc>
          <w:tcPr>
            <w:tcW w:w="1540" w:type="dxa"/>
            <w:tcBorders>
              <w:top w:val="nil"/>
              <w:left w:val="nil"/>
              <w:bottom w:val="single" w:sz="4" w:space="0" w:color="auto"/>
              <w:right w:val="single" w:sz="4" w:space="0" w:color="auto"/>
            </w:tcBorders>
            <w:shd w:val="clear" w:color="auto" w:fill="auto"/>
            <w:noWrap/>
            <w:vAlign w:val="center"/>
            <w:hideMark/>
          </w:tcPr>
          <w:p w14:paraId="55AFE87D"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14.776 </w:t>
            </w:r>
          </w:p>
        </w:tc>
        <w:tc>
          <w:tcPr>
            <w:tcW w:w="1540" w:type="dxa"/>
            <w:tcBorders>
              <w:top w:val="nil"/>
              <w:left w:val="nil"/>
              <w:bottom w:val="single" w:sz="4" w:space="0" w:color="auto"/>
              <w:right w:val="single" w:sz="4" w:space="0" w:color="auto"/>
            </w:tcBorders>
            <w:shd w:val="clear" w:color="auto" w:fill="auto"/>
            <w:noWrap/>
            <w:vAlign w:val="center"/>
            <w:hideMark/>
          </w:tcPr>
          <w:p w14:paraId="5876DF92"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250,447</w:t>
            </w:r>
          </w:p>
        </w:tc>
      </w:tr>
      <w:tr w:rsidR="0032335C" w:rsidRPr="00C63A39" w14:paraId="3CF5E849"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39C756BC" w14:textId="3BAD0BD7" w:rsidR="0032335C" w:rsidRPr="00C63A39" w:rsidRDefault="0032335C" w:rsidP="0032335C">
            <w:pPr>
              <w:rPr>
                <w:kern w:val="22"/>
                <w:szCs w:val="22"/>
                <w:lang w:val="fr-FR" w:eastAsia="en-CA"/>
              </w:rPr>
            </w:pPr>
            <w:r w:rsidRPr="00C63A39">
              <w:rPr>
                <w:szCs w:val="22"/>
                <w:lang w:val="fr-FR"/>
              </w:rPr>
              <w:t>Jordanie</w:t>
            </w:r>
          </w:p>
        </w:tc>
        <w:tc>
          <w:tcPr>
            <w:tcW w:w="1540" w:type="dxa"/>
            <w:tcBorders>
              <w:top w:val="nil"/>
              <w:left w:val="nil"/>
              <w:bottom w:val="single" w:sz="4" w:space="0" w:color="auto"/>
              <w:right w:val="single" w:sz="4" w:space="0" w:color="auto"/>
            </w:tcBorders>
            <w:shd w:val="clear" w:color="auto" w:fill="auto"/>
            <w:vAlign w:val="center"/>
            <w:hideMark/>
          </w:tcPr>
          <w:p w14:paraId="2F574423"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0.021 </w:t>
            </w:r>
          </w:p>
        </w:tc>
        <w:tc>
          <w:tcPr>
            <w:tcW w:w="1540" w:type="dxa"/>
            <w:tcBorders>
              <w:top w:val="nil"/>
              <w:left w:val="nil"/>
              <w:bottom w:val="single" w:sz="4" w:space="0" w:color="auto"/>
              <w:right w:val="single" w:sz="4" w:space="0" w:color="auto"/>
            </w:tcBorders>
            <w:shd w:val="clear" w:color="auto" w:fill="auto"/>
            <w:noWrap/>
            <w:vAlign w:val="center"/>
            <w:hideMark/>
          </w:tcPr>
          <w:p w14:paraId="41DDC463"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0.036 </w:t>
            </w:r>
          </w:p>
        </w:tc>
        <w:tc>
          <w:tcPr>
            <w:tcW w:w="1540" w:type="dxa"/>
            <w:tcBorders>
              <w:top w:val="nil"/>
              <w:left w:val="nil"/>
              <w:bottom w:val="single" w:sz="4" w:space="0" w:color="auto"/>
              <w:right w:val="single" w:sz="4" w:space="0" w:color="auto"/>
            </w:tcBorders>
            <w:shd w:val="clear" w:color="auto" w:fill="auto"/>
            <w:noWrap/>
            <w:vAlign w:val="center"/>
            <w:hideMark/>
          </w:tcPr>
          <w:p w14:paraId="73C3E35A"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614</w:t>
            </w:r>
          </w:p>
        </w:tc>
      </w:tr>
    </w:tbl>
    <w:p w14:paraId="59EB4A92" w14:textId="42980662" w:rsidR="00315701" w:rsidRPr="00C63A39" w:rsidRDefault="00315701" w:rsidP="000311B5">
      <w:pPr>
        <w:spacing w:after="160" w:line="259" w:lineRule="auto"/>
        <w:rPr>
          <w:b/>
          <w:bCs/>
          <w:snapToGrid w:val="0"/>
          <w:kern w:val="22"/>
          <w:szCs w:val="22"/>
          <w:lang w:val="fr-FR"/>
        </w:rPr>
      </w:pPr>
    </w:p>
    <w:p w14:paraId="5D39AB87" w14:textId="77777777" w:rsidR="00315701" w:rsidRPr="00C63A39" w:rsidRDefault="00315701">
      <w:pPr>
        <w:spacing w:after="160" w:line="259" w:lineRule="auto"/>
        <w:rPr>
          <w:b/>
          <w:bCs/>
          <w:snapToGrid w:val="0"/>
          <w:kern w:val="22"/>
          <w:szCs w:val="22"/>
          <w:lang w:val="fr-FR"/>
        </w:rPr>
      </w:pPr>
      <w:r w:rsidRPr="00C63A39">
        <w:rPr>
          <w:b/>
          <w:bCs/>
          <w:snapToGrid w:val="0"/>
          <w:kern w:val="22"/>
          <w:szCs w:val="22"/>
          <w:lang w:val="fr-FR"/>
        </w:rPr>
        <w:br w:type="page"/>
      </w:r>
    </w:p>
    <w:tbl>
      <w:tblPr>
        <w:tblW w:w="9420" w:type="dxa"/>
        <w:tblLook w:val="04A0" w:firstRow="1" w:lastRow="0" w:firstColumn="1" w:lastColumn="0" w:noHBand="0" w:noVBand="1"/>
      </w:tblPr>
      <w:tblGrid>
        <w:gridCol w:w="4800"/>
        <w:gridCol w:w="1540"/>
        <w:gridCol w:w="1540"/>
        <w:gridCol w:w="1540"/>
      </w:tblGrid>
      <w:tr w:rsidR="005F7E95" w:rsidRPr="00C63A39" w14:paraId="687C1360" w14:textId="77777777" w:rsidTr="00315701">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E8A6E8" w14:textId="4CDF489E" w:rsidR="005F7E95" w:rsidRPr="00C63A39" w:rsidRDefault="005F7E95" w:rsidP="005F7E95">
            <w:pPr>
              <w:jc w:val="center"/>
              <w:rPr>
                <w:b/>
                <w:bCs/>
                <w:kern w:val="22"/>
                <w:szCs w:val="22"/>
                <w:lang w:val="fr-FR" w:eastAsia="en-CA"/>
              </w:rPr>
            </w:pPr>
            <w:r w:rsidRPr="00C63A39">
              <w:rPr>
                <w:b/>
                <w:bCs/>
                <w:kern w:val="22"/>
                <w:szCs w:val="22"/>
                <w:lang w:val="fr-FR" w:eastAsia="en-CA"/>
              </w:rPr>
              <w:lastRenderedPageBreak/>
              <w:t>Partie</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3C57D5A4" w14:textId="50E7B14B" w:rsidR="005F7E95" w:rsidRPr="00C63A39" w:rsidRDefault="005F7E95" w:rsidP="005F7E95">
            <w:pPr>
              <w:jc w:val="center"/>
              <w:rPr>
                <w:b/>
                <w:bCs/>
                <w:color w:val="000000"/>
                <w:kern w:val="22"/>
                <w:szCs w:val="22"/>
                <w:lang w:val="fr-FR" w:eastAsia="en-CA"/>
              </w:rPr>
            </w:pPr>
            <w:r w:rsidRPr="00C63A39">
              <w:rPr>
                <w:b/>
                <w:bCs/>
                <w:color w:val="000000"/>
                <w:kern w:val="22"/>
                <w:szCs w:val="22"/>
                <w:lang w:val="fr-FR" w:eastAsia="en-CA"/>
              </w:rPr>
              <w:t xml:space="preserve">Barème des quotes-parts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10ABD9BC" w14:textId="2B5554B2" w:rsidR="005F7E95" w:rsidRPr="00C63A39" w:rsidRDefault="005F7E95" w:rsidP="005F7E95">
            <w:pPr>
              <w:jc w:val="center"/>
              <w:rPr>
                <w:b/>
                <w:bCs/>
                <w:color w:val="000000"/>
                <w:kern w:val="22"/>
                <w:szCs w:val="22"/>
                <w:lang w:val="fr-FR" w:eastAsia="en-CA"/>
              </w:rPr>
            </w:pPr>
            <w:r w:rsidRPr="00C63A39">
              <w:rPr>
                <w:b/>
                <w:bCs/>
                <w:color w:val="000000"/>
                <w:kern w:val="22"/>
                <w:szCs w:val="22"/>
                <w:lang w:val="fr-FR" w:eastAsia="en-CA"/>
              </w:rPr>
              <w:t>Barème assorti d’un plafond de 22% ; aucun PMA ne paie plus de 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2BCCBD04" w14:textId="1B20F6DE" w:rsidR="005F7E95" w:rsidRPr="00C63A39" w:rsidRDefault="005F7E95" w:rsidP="005F7E95">
            <w:pPr>
              <w:jc w:val="center"/>
              <w:rPr>
                <w:b/>
                <w:bCs/>
                <w:color w:val="000000"/>
                <w:kern w:val="22"/>
                <w:szCs w:val="22"/>
                <w:lang w:val="fr-FR" w:eastAsia="en-CA"/>
              </w:rPr>
            </w:pPr>
            <w:r w:rsidRPr="00C63A39">
              <w:rPr>
                <w:b/>
                <w:bCs/>
                <w:color w:val="000000"/>
                <w:kern w:val="22"/>
                <w:szCs w:val="22"/>
                <w:lang w:val="fr-FR" w:eastAsia="en-CA"/>
              </w:rPr>
              <w:t>Contributions au 1er janvier 2020</w:t>
            </w:r>
          </w:p>
        </w:tc>
      </w:tr>
      <w:tr w:rsidR="0032335C" w:rsidRPr="00C63A39" w14:paraId="3806F45B"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7B002A4E" w14:textId="1D111D67" w:rsidR="0032335C" w:rsidRPr="00C63A39" w:rsidRDefault="0032335C" w:rsidP="0032335C">
            <w:pPr>
              <w:rPr>
                <w:kern w:val="22"/>
                <w:szCs w:val="22"/>
                <w:lang w:val="fr-FR" w:eastAsia="en-CA"/>
              </w:rPr>
            </w:pPr>
            <w:r w:rsidRPr="00C63A39">
              <w:rPr>
                <w:szCs w:val="22"/>
                <w:lang w:val="fr-FR"/>
              </w:rPr>
              <w:t>Malte</w:t>
            </w:r>
          </w:p>
        </w:tc>
        <w:tc>
          <w:tcPr>
            <w:tcW w:w="1540" w:type="dxa"/>
            <w:tcBorders>
              <w:top w:val="nil"/>
              <w:left w:val="nil"/>
              <w:bottom w:val="single" w:sz="4" w:space="0" w:color="auto"/>
              <w:right w:val="single" w:sz="4" w:space="0" w:color="auto"/>
            </w:tcBorders>
            <w:shd w:val="clear" w:color="auto" w:fill="auto"/>
            <w:vAlign w:val="center"/>
            <w:hideMark/>
          </w:tcPr>
          <w:p w14:paraId="5063E9C5"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0.178 </w:t>
            </w:r>
          </w:p>
        </w:tc>
        <w:tc>
          <w:tcPr>
            <w:tcW w:w="1540" w:type="dxa"/>
            <w:tcBorders>
              <w:top w:val="nil"/>
              <w:left w:val="nil"/>
              <w:bottom w:val="single" w:sz="4" w:space="0" w:color="auto"/>
              <w:right w:val="single" w:sz="4" w:space="0" w:color="auto"/>
            </w:tcBorders>
            <w:shd w:val="clear" w:color="auto" w:fill="auto"/>
            <w:noWrap/>
            <w:vAlign w:val="center"/>
            <w:hideMark/>
          </w:tcPr>
          <w:p w14:paraId="240C1916"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0.307 </w:t>
            </w:r>
          </w:p>
        </w:tc>
        <w:tc>
          <w:tcPr>
            <w:tcW w:w="1540" w:type="dxa"/>
            <w:tcBorders>
              <w:top w:val="nil"/>
              <w:left w:val="nil"/>
              <w:bottom w:val="single" w:sz="4" w:space="0" w:color="auto"/>
              <w:right w:val="single" w:sz="4" w:space="0" w:color="auto"/>
            </w:tcBorders>
            <w:shd w:val="clear" w:color="auto" w:fill="auto"/>
            <w:noWrap/>
            <w:vAlign w:val="center"/>
            <w:hideMark/>
          </w:tcPr>
          <w:p w14:paraId="7F2B37C1"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5,205</w:t>
            </w:r>
          </w:p>
        </w:tc>
      </w:tr>
      <w:tr w:rsidR="0032335C" w:rsidRPr="00C63A39" w14:paraId="53CFE83B"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7DD909AB" w14:textId="3C1801A9" w:rsidR="0032335C" w:rsidRPr="00C63A39" w:rsidRDefault="0032335C" w:rsidP="0032335C">
            <w:pPr>
              <w:rPr>
                <w:kern w:val="22"/>
                <w:szCs w:val="22"/>
                <w:lang w:val="fr-FR" w:eastAsia="en-CA"/>
              </w:rPr>
            </w:pPr>
            <w:r w:rsidRPr="00C63A39">
              <w:rPr>
                <w:szCs w:val="22"/>
                <w:lang w:val="fr-FR"/>
              </w:rPr>
              <w:t>Îles Marshall</w:t>
            </w:r>
          </w:p>
        </w:tc>
        <w:tc>
          <w:tcPr>
            <w:tcW w:w="1540" w:type="dxa"/>
            <w:tcBorders>
              <w:top w:val="nil"/>
              <w:left w:val="nil"/>
              <w:bottom w:val="single" w:sz="4" w:space="0" w:color="auto"/>
              <w:right w:val="single" w:sz="4" w:space="0" w:color="auto"/>
            </w:tcBorders>
            <w:shd w:val="clear" w:color="auto" w:fill="auto"/>
            <w:vAlign w:val="center"/>
            <w:hideMark/>
          </w:tcPr>
          <w:p w14:paraId="0A54D152"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0.024 </w:t>
            </w:r>
          </w:p>
        </w:tc>
        <w:tc>
          <w:tcPr>
            <w:tcW w:w="1540" w:type="dxa"/>
            <w:tcBorders>
              <w:top w:val="nil"/>
              <w:left w:val="nil"/>
              <w:bottom w:val="single" w:sz="4" w:space="0" w:color="auto"/>
              <w:right w:val="single" w:sz="4" w:space="0" w:color="auto"/>
            </w:tcBorders>
            <w:shd w:val="clear" w:color="auto" w:fill="auto"/>
            <w:noWrap/>
            <w:vAlign w:val="center"/>
            <w:hideMark/>
          </w:tcPr>
          <w:p w14:paraId="72EEF55A"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0.041 </w:t>
            </w:r>
          </w:p>
        </w:tc>
        <w:tc>
          <w:tcPr>
            <w:tcW w:w="1540" w:type="dxa"/>
            <w:tcBorders>
              <w:top w:val="nil"/>
              <w:left w:val="nil"/>
              <w:bottom w:val="single" w:sz="4" w:space="0" w:color="auto"/>
              <w:right w:val="single" w:sz="4" w:space="0" w:color="auto"/>
            </w:tcBorders>
            <w:shd w:val="clear" w:color="auto" w:fill="auto"/>
            <w:noWrap/>
            <w:vAlign w:val="center"/>
            <w:hideMark/>
          </w:tcPr>
          <w:p w14:paraId="5447713C"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702</w:t>
            </w:r>
          </w:p>
        </w:tc>
      </w:tr>
      <w:tr w:rsidR="0032335C" w:rsidRPr="00C63A39" w14:paraId="7DB0DF6A"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6A0D0CAD" w14:textId="4A998190" w:rsidR="0032335C" w:rsidRPr="00C63A39" w:rsidRDefault="0032335C" w:rsidP="0032335C">
            <w:pPr>
              <w:rPr>
                <w:kern w:val="22"/>
                <w:szCs w:val="22"/>
                <w:lang w:val="fr-FR" w:eastAsia="en-CA"/>
              </w:rPr>
            </w:pPr>
            <w:r w:rsidRPr="00C63A39">
              <w:rPr>
                <w:szCs w:val="22"/>
                <w:lang w:val="fr-FR"/>
              </w:rPr>
              <w:t>Mauritanie</w:t>
            </w:r>
          </w:p>
        </w:tc>
        <w:tc>
          <w:tcPr>
            <w:tcW w:w="1540" w:type="dxa"/>
            <w:tcBorders>
              <w:top w:val="nil"/>
              <w:left w:val="nil"/>
              <w:bottom w:val="single" w:sz="4" w:space="0" w:color="auto"/>
              <w:right w:val="single" w:sz="4" w:space="0" w:color="auto"/>
            </w:tcBorders>
            <w:shd w:val="clear" w:color="auto" w:fill="auto"/>
            <w:vAlign w:val="center"/>
            <w:hideMark/>
          </w:tcPr>
          <w:p w14:paraId="11AC429C"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0.252 </w:t>
            </w:r>
          </w:p>
        </w:tc>
        <w:tc>
          <w:tcPr>
            <w:tcW w:w="1540" w:type="dxa"/>
            <w:tcBorders>
              <w:top w:val="nil"/>
              <w:left w:val="nil"/>
              <w:bottom w:val="single" w:sz="4" w:space="0" w:color="auto"/>
              <w:right w:val="single" w:sz="4" w:space="0" w:color="auto"/>
            </w:tcBorders>
            <w:shd w:val="clear" w:color="auto" w:fill="auto"/>
            <w:noWrap/>
            <w:vAlign w:val="center"/>
            <w:hideMark/>
          </w:tcPr>
          <w:p w14:paraId="18841485"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0.435 </w:t>
            </w:r>
          </w:p>
        </w:tc>
        <w:tc>
          <w:tcPr>
            <w:tcW w:w="1540" w:type="dxa"/>
            <w:tcBorders>
              <w:top w:val="nil"/>
              <w:left w:val="nil"/>
              <w:bottom w:val="single" w:sz="4" w:space="0" w:color="auto"/>
              <w:right w:val="single" w:sz="4" w:space="0" w:color="auto"/>
            </w:tcBorders>
            <w:shd w:val="clear" w:color="auto" w:fill="auto"/>
            <w:noWrap/>
            <w:vAlign w:val="center"/>
            <w:hideMark/>
          </w:tcPr>
          <w:p w14:paraId="1E13EE7C"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7,370</w:t>
            </w:r>
          </w:p>
        </w:tc>
      </w:tr>
      <w:tr w:rsidR="0032335C" w:rsidRPr="00C63A39" w14:paraId="35A3CB31"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0577D395" w14:textId="37616593" w:rsidR="0032335C" w:rsidRPr="00C63A39" w:rsidRDefault="0032335C" w:rsidP="0032335C">
            <w:pPr>
              <w:rPr>
                <w:kern w:val="22"/>
                <w:szCs w:val="22"/>
                <w:lang w:val="fr-FR" w:eastAsia="en-CA"/>
              </w:rPr>
            </w:pPr>
            <w:r w:rsidRPr="00C63A39">
              <w:rPr>
                <w:szCs w:val="22"/>
                <w:lang w:val="fr-FR"/>
              </w:rPr>
              <w:t>Maurice</w:t>
            </w:r>
          </w:p>
        </w:tc>
        <w:tc>
          <w:tcPr>
            <w:tcW w:w="1540" w:type="dxa"/>
            <w:tcBorders>
              <w:top w:val="nil"/>
              <w:left w:val="nil"/>
              <w:bottom w:val="single" w:sz="4" w:space="0" w:color="auto"/>
              <w:right w:val="single" w:sz="4" w:space="0" w:color="auto"/>
            </w:tcBorders>
            <w:shd w:val="clear" w:color="auto" w:fill="auto"/>
            <w:vAlign w:val="center"/>
            <w:hideMark/>
          </w:tcPr>
          <w:p w14:paraId="60FCA829"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57CC0D1A"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4A1F80FA"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58</w:t>
            </w:r>
          </w:p>
        </w:tc>
      </w:tr>
      <w:tr w:rsidR="0032335C" w:rsidRPr="00C63A39" w14:paraId="69F80929"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67B6DE81" w14:textId="61E0A9D1" w:rsidR="0032335C" w:rsidRPr="00C63A39" w:rsidRDefault="0032335C" w:rsidP="0032335C">
            <w:pPr>
              <w:rPr>
                <w:kern w:val="22"/>
                <w:szCs w:val="22"/>
                <w:lang w:val="fr-FR" w:eastAsia="en-CA"/>
              </w:rPr>
            </w:pPr>
            <w:r w:rsidRPr="00C63A39">
              <w:rPr>
                <w:szCs w:val="22"/>
                <w:lang w:val="fr-FR"/>
              </w:rPr>
              <w:t>Mexique</w:t>
            </w:r>
          </w:p>
        </w:tc>
        <w:tc>
          <w:tcPr>
            <w:tcW w:w="1540" w:type="dxa"/>
            <w:tcBorders>
              <w:top w:val="nil"/>
              <w:left w:val="nil"/>
              <w:bottom w:val="single" w:sz="4" w:space="0" w:color="auto"/>
              <w:right w:val="single" w:sz="4" w:space="0" w:color="auto"/>
            </w:tcBorders>
            <w:shd w:val="clear" w:color="auto" w:fill="auto"/>
            <w:vAlign w:val="center"/>
            <w:hideMark/>
          </w:tcPr>
          <w:p w14:paraId="6D82F48B"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14:paraId="53EC7819"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14:paraId="31C83DCF"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146</w:t>
            </w:r>
          </w:p>
        </w:tc>
      </w:tr>
      <w:tr w:rsidR="0032335C" w:rsidRPr="00C63A39" w14:paraId="5CACAA02"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6B84575D" w14:textId="55BBC122" w:rsidR="0032335C" w:rsidRPr="00C63A39" w:rsidRDefault="0032335C" w:rsidP="0032335C">
            <w:pPr>
              <w:rPr>
                <w:kern w:val="22"/>
                <w:szCs w:val="22"/>
                <w:lang w:val="fr-FR" w:eastAsia="en-CA"/>
              </w:rPr>
            </w:pPr>
            <w:r w:rsidRPr="00C63A39">
              <w:rPr>
                <w:szCs w:val="22"/>
                <w:lang w:val="fr-FR"/>
              </w:rPr>
              <w:t>Micronésie (États fédérés de)</w:t>
            </w:r>
          </w:p>
        </w:tc>
        <w:tc>
          <w:tcPr>
            <w:tcW w:w="1540" w:type="dxa"/>
            <w:tcBorders>
              <w:top w:val="nil"/>
              <w:left w:val="nil"/>
              <w:bottom w:val="single" w:sz="4" w:space="0" w:color="auto"/>
              <w:right w:val="single" w:sz="4" w:space="0" w:color="auto"/>
            </w:tcBorders>
            <w:shd w:val="clear" w:color="auto" w:fill="auto"/>
            <w:vAlign w:val="center"/>
            <w:hideMark/>
          </w:tcPr>
          <w:p w14:paraId="4F187316"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0.047 </w:t>
            </w:r>
          </w:p>
        </w:tc>
        <w:tc>
          <w:tcPr>
            <w:tcW w:w="1540" w:type="dxa"/>
            <w:tcBorders>
              <w:top w:val="nil"/>
              <w:left w:val="nil"/>
              <w:bottom w:val="single" w:sz="4" w:space="0" w:color="auto"/>
              <w:right w:val="single" w:sz="4" w:space="0" w:color="auto"/>
            </w:tcBorders>
            <w:shd w:val="clear" w:color="auto" w:fill="auto"/>
            <w:noWrap/>
            <w:vAlign w:val="center"/>
            <w:hideMark/>
          </w:tcPr>
          <w:p w14:paraId="7803E6D5"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0.081 </w:t>
            </w:r>
          </w:p>
        </w:tc>
        <w:tc>
          <w:tcPr>
            <w:tcW w:w="1540" w:type="dxa"/>
            <w:tcBorders>
              <w:top w:val="nil"/>
              <w:left w:val="nil"/>
              <w:bottom w:val="single" w:sz="4" w:space="0" w:color="auto"/>
              <w:right w:val="single" w:sz="4" w:space="0" w:color="auto"/>
            </w:tcBorders>
            <w:shd w:val="clear" w:color="auto" w:fill="auto"/>
            <w:noWrap/>
            <w:vAlign w:val="center"/>
            <w:hideMark/>
          </w:tcPr>
          <w:p w14:paraId="48BB8366"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1,374</w:t>
            </w:r>
          </w:p>
        </w:tc>
      </w:tr>
      <w:tr w:rsidR="0032335C" w:rsidRPr="00C63A39" w14:paraId="0BBED1D9"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6702F347" w14:textId="0897A608" w:rsidR="0032335C" w:rsidRPr="00C63A39" w:rsidRDefault="0032335C" w:rsidP="0032335C">
            <w:pPr>
              <w:rPr>
                <w:kern w:val="22"/>
                <w:szCs w:val="22"/>
                <w:lang w:val="fr-FR" w:eastAsia="en-CA"/>
              </w:rPr>
            </w:pPr>
            <w:r w:rsidRPr="00C63A39">
              <w:rPr>
                <w:szCs w:val="22"/>
                <w:lang w:val="fr-FR"/>
              </w:rPr>
              <w:t>Mongolie</w:t>
            </w:r>
          </w:p>
        </w:tc>
        <w:tc>
          <w:tcPr>
            <w:tcW w:w="1540" w:type="dxa"/>
            <w:tcBorders>
              <w:top w:val="nil"/>
              <w:left w:val="nil"/>
              <w:bottom w:val="single" w:sz="4" w:space="0" w:color="auto"/>
              <w:right w:val="single" w:sz="4" w:space="0" w:color="auto"/>
            </w:tcBorders>
            <w:shd w:val="clear" w:color="auto" w:fill="auto"/>
            <w:vAlign w:val="center"/>
            <w:hideMark/>
          </w:tcPr>
          <w:p w14:paraId="773BE1DA"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4F545A16"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7210DB6D"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29</w:t>
            </w:r>
          </w:p>
        </w:tc>
      </w:tr>
      <w:tr w:rsidR="0032335C" w:rsidRPr="00C63A39" w14:paraId="7DA3E232"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32851F04" w14:textId="0B816115" w:rsidR="0032335C" w:rsidRPr="00C63A39" w:rsidRDefault="0032335C" w:rsidP="0032335C">
            <w:pPr>
              <w:rPr>
                <w:kern w:val="22"/>
                <w:szCs w:val="22"/>
                <w:lang w:val="fr-FR" w:eastAsia="en-CA"/>
              </w:rPr>
            </w:pPr>
            <w:r w:rsidRPr="00C63A39">
              <w:rPr>
                <w:szCs w:val="22"/>
                <w:lang w:val="fr-FR"/>
              </w:rPr>
              <w:t>Mozambique</w:t>
            </w:r>
          </w:p>
        </w:tc>
        <w:tc>
          <w:tcPr>
            <w:tcW w:w="1540" w:type="dxa"/>
            <w:tcBorders>
              <w:top w:val="nil"/>
              <w:left w:val="nil"/>
              <w:bottom w:val="single" w:sz="4" w:space="0" w:color="auto"/>
              <w:right w:val="single" w:sz="4" w:space="0" w:color="auto"/>
            </w:tcBorders>
            <w:shd w:val="clear" w:color="auto" w:fill="auto"/>
            <w:vAlign w:val="center"/>
            <w:hideMark/>
          </w:tcPr>
          <w:p w14:paraId="3803A43C"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7EC06C15"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36FF5D1D"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29</w:t>
            </w:r>
          </w:p>
        </w:tc>
      </w:tr>
      <w:tr w:rsidR="0032335C" w:rsidRPr="00C63A39" w14:paraId="5666FCB8"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13298F01" w14:textId="36B675EC" w:rsidR="0032335C" w:rsidRPr="00C63A39" w:rsidRDefault="0032335C" w:rsidP="0032335C">
            <w:pPr>
              <w:rPr>
                <w:kern w:val="22"/>
                <w:szCs w:val="22"/>
                <w:lang w:val="fr-FR" w:eastAsia="en-CA"/>
              </w:rPr>
            </w:pPr>
            <w:r w:rsidRPr="00C63A39">
              <w:rPr>
                <w:szCs w:val="22"/>
                <w:lang w:val="fr-FR"/>
              </w:rPr>
              <w:t>Myanmar</w:t>
            </w:r>
          </w:p>
        </w:tc>
        <w:tc>
          <w:tcPr>
            <w:tcW w:w="1540" w:type="dxa"/>
            <w:tcBorders>
              <w:top w:val="nil"/>
              <w:left w:val="nil"/>
              <w:bottom w:val="single" w:sz="4" w:space="0" w:color="auto"/>
              <w:right w:val="single" w:sz="4" w:space="0" w:color="auto"/>
            </w:tcBorders>
            <w:shd w:val="clear" w:color="auto" w:fill="auto"/>
            <w:vAlign w:val="center"/>
            <w:hideMark/>
          </w:tcPr>
          <w:p w14:paraId="3C5FD023"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0.067 </w:t>
            </w:r>
          </w:p>
        </w:tc>
        <w:tc>
          <w:tcPr>
            <w:tcW w:w="1540" w:type="dxa"/>
            <w:tcBorders>
              <w:top w:val="nil"/>
              <w:left w:val="nil"/>
              <w:bottom w:val="single" w:sz="4" w:space="0" w:color="auto"/>
              <w:right w:val="single" w:sz="4" w:space="0" w:color="auto"/>
            </w:tcBorders>
            <w:shd w:val="clear" w:color="auto" w:fill="auto"/>
            <w:noWrap/>
            <w:vAlign w:val="center"/>
            <w:hideMark/>
          </w:tcPr>
          <w:p w14:paraId="42C0A016"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0.116 </w:t>
            </w:r>
          </w:p>
        </w:tc>
        <w:tc>
          <w:tcPr>
            <w:tcW w:w="1540" w:type="dxa"/>
            <w:tcBorders>
              <w:top w:val="nil"/>
              <w:left w:val="nil"/>
              <w:bottom w:val="single" w:sz="4" w:space="0" w:color="auto"/>
              <w:right w:val="single" w:sz="4" w:space="0" w:color="auto"/>
            </w:tcBorders>
            <w:shd w:val="clear" w:color="auto" w:fill="auto"/>
            <w:noWrap/>
            <w:vAlign w:val="center"/>
            <w:hideMark/>
          </w:tcPr>
          <w:p w14:paraId="72CA4FDE"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1,959</w:t>
            </w:r>
          </w:p>
        </w:tc>
      </w:tr>
      <w:tr w:rsidR="0032335C" w:rsidRPr="00C63A39" w14:paraId="2AD67EBF"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47FA0F76" w14:textId="14D61AB8" w:rsidR="0032335C" w:rsidRPr="00C63A39" w:rsidRDefault="0032335C" w:rsidP="0032335C">
            <w:pPr>
              <w:rPr>
                <w:kern w:val="22"/>
                <w:szCs w:val="22"/>
                <w:lang w:val="fr-FR" w:eastAsia="en-CA"/>
              </w:rPr>
            </w:pPr>
            <w:r w:rsidRPr="00C63A39">
              <w:rPr>
                <w:szCs w:val="22"/>
                <w:lang w:val="fr-FR"/>
              </w:rPr>
              <w:t>Namibie</w:t>
            </w:r>
          </w:p>
        </w:tc>
        <w:tc>
          <w:tcPr>
            <w:tcW w:w="1540" w:type="dxa"/>
            <w:tcBorders>
              <w:top w:val="nil"/>
              <w:left w:val="nil"/>
              <w:bottom w:val="single" w:sz="4" w:space="0" w:color="auto"/>
              <w:right w:val="single" w:sz="4" w:space="0" w:color="auto"/>
            </w:tcBorders>
            <w:shd w:val="clear" w:color="auto" w:fill="auto"/>
            <w:vAlign w:val="center"/>
            <w:hideMark/>
          </w:tcPr>
          <w:p w14:paraId="5F2FFBEE"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4EE0C00A"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14:paraId="1F340CA9"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117</w:t>
            </w:r>
          </w:p>
        </w:tc>
      </w:tr>
      <w:tr w:rsidR="0032335C" w:rsidRPr="00C63A39" w14:paraId="010EF2F3"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01C92694" w14:textId="49BDCD2E" w:rsidR="0032335C" w:rsidRPr="00C63A39" w:rsidRDefault="0032335C" w:rsidP="0032335C">
            <w:pPr>
              <w:rPr>
                <w:kern w:val="22"/>
                <w:szCs w:val="22"/>
                <w:lang w:val="fr-FR" w:eastAsia="en-CA"/>
              </w:rPr>
            </w:pPr>
            <w:r w:rsidRPr="00C63A39">
              <w:rPr>
                <w:szCs w:val="22"/>
                <w:lang w:val="fr-FR"/>
              </w:rPr>
              <w:t>Népal</w:t>
            </w:r>
          </w:p>
        </w:tc>
        <w:tc>
          <w:tcPr>
            <w:tcW w:w="1540" w:type="dxa"/>
            <w:tcBorders>
              <w:top w:val="nil"/>
              <w:left w:val="nil"/>
              <w:bottom w:val="single" w:sz="4" w:space="0" w:color="auto"/>
              <w:right w:val="single" w:sz="4" w:space="0" w:color="auto"/>
            </w:tcBorders>
            <w:shd w:val="clear" w:color="auto" w:fill="auto"/>
            <w:vAlign w:val="center"/>
            <w:hideMark/>
          </w:tcPr>
          <w:p w14:paraId="1CD9B04B"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664CED63"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303BCC07"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58</w:t>
            </w:r>
          </w:p>
        </w:tc>
      </w:tr>
      <w:tr w:rsidR="0032335C" w:rsidRPr="00C63A39" w14:paraId="0468946E"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358B15EA" w14:textId="5A0060F6" w:rsidR="0032335C" w:rsidRPr="00C63A39" w:rsidRDefault="0032335C" w:rsidP="0032335C">
            <w:pPr>
              <w:rPr>
                <w:kern w:val="22"/>
                <w:szCs w:val="22"/>
                <w:lang w:val="fr-FR" w:eastAsia="en-CA"/>
              </w:rPr>
            </w:pPr>
            <w:r w:rsidRPr="00C63A39">
              <w:rPr>
                <w:szCs w:val="22"/>
                <w:lang w:val="fr-FR"/>
              </w:rPr>
              <w:t>Pays-Bas</w:t>
            </w:r>
          </w:p>
        </w:tc>
        <w:tc>
          <w:tcPr>
            <w:tcW w:w="1540" w:type="dxa"/>
            <w:tcBorders>
              <w:top w:val="nil"/>
              <w:left w:val="nil"/>
              <w:bottom w:val="single" w:sz="4" w:space="0" w:color="auto"/>
              <w:right w:val="single" w:sz="4" w:space="0" w:color="auto"/>
            </w:tcBorders>
            <w:shd w:val="clear" w:color="auto" w:fill="auto"/>
            <w:vAlign w:val="center"/>
            <w:hideMark/>
          </w:tcPr>
          <w:p w14:paraId="33D49058"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0.341 </w:t>
            </w:r>
          </w:p>
        </w:tc>
        <w:tc>
          <w:tcPr>
            <w:tcW w:w="1540" w:type="dxa"/>
            <w:tcBorders>
              <w:top w:val="nil"/>
              <w:left w:val="nil"/>
              <w:bottom w:val="single" w:sz="4" w:space="0" w:color="auto"/>
              <w:right w:val="single" w:sz="4" w:space="0" w:color="auto"/>
            </w:tcBorders>
            <w:shd w:val="clear" w:color="auto" w:fill="auto"/>
            <w:noWrap/>
            <w:vAlign w:val="center"/>
            <w:hideMark/>
          </w:tcPr>
          <w:p w14:paraId="7CB25934"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0.588 </w:t>
            </w:r>
          </w:p>
        </w:tc>
        <w:tc>
          <w:tcPr>
            <w:tcW w:w="1540" w:type="dxa"/>
            <w:tcBorders>
              <w:top w:val="nil"/>
              <w:left w:val="nil"/>
              <w:bottom w:val="single" w:sz="4" w:space="0" w:color="auto"/>
              <w:right w:val="single" w:sz="4" w:space="0" w:color="auto"/>
            </w:tcBorders>
            <w:shd w:val="clear" w:color="auto" w:fill="auto"/>
            <w:noWrap/>
            <w:vAlign w:val="center"/>
            <w:hideMark/>
          </w:tcPr>
          <w:p w14:paraId="61152CE7"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9,972</w:t>
            </w:r>
          </w:p>
        </w:tc>
      </w:tr>
      <w:tr w:rsidR="0032335C" w:rsidRPr="00C63A39" w14:paraId="65178AD0"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3B12F2C3" w14:textId="6FE3CDA1" w:rsidR="0032335C" w:rsidRPr="00C63A39" w:rsidRDefault="0032335C" w:rsidP="0032335C">
            <w:pPr>
              <w:rPr>
                <w:kern w:val="22"/>
                <w:szCs w:val="22"/>
                <w:lang w:val="fr-FR" w:eastAsia="en-CA"/>
              </w:rPr>
            </w:pPr>
            <w:r w:rsidRPr="00C63A39">
              <w:rPr>
                <w:szCs w:val="22"/>
                <w:lang w:val="fr-FR"/>
              </w:rPr>
              <w:t>Nicaragua</w:t>
            </w:r>
          </w:p>
        </w:tc>
        <w:tc>
          <w:tcPr>
            <w:tcW w:w="1540" w:type="dxa"/>
            <w:tcBorders>
              <w:top w:val="nil"/>
              <w:left w:val="nil"/>
              <w:bottom w:val="single" w:sz="4" w:space="0" w:color="auto"/>
              <w:right w:val="single" w:sz="4" w:space="0" w:color="auto"/>
            </w:tcBorders>
            <w:shd w:val="clear" w:color="auto" w:fill="auto"/>
            <w:vAlign w:val="center"/>
            <w:hideMark/>
          </w:tcPr>
          <w:p w14:paraId="60F80286"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2585A6CC"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14:paraId="135CAAF7"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117</w:t>
            </w:r>
          </w:p>
        </w:tc>
      </w:tr>
      <w:tr w:rsidR="0032335C" w:rsidRPr="00C63A39" w14:paraId="7DFF8215"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53353989" w14:textId="72741142" w:rsidR="0032335C" w:rsidRPr="00C63A39" w:rsidRDefault="0032335C" w:rsidP="0032335C">
            <w:pPr>
              <w:rPr>
                <w:kern w:val="22"/>
                <w:szCs w:val="22"/>
                <w:lang w:val="fr-FR" w:eastAsia="en-CA"/>
              </w:rPr>
            </w:pPr>
            <w:r w:rsidRPr="00C63A39">
              <w:rPr>
                <w:szCs w:val="22"/>
                <w:lang w:val="fr-FR"/>
              </w:rPr>
              <w:t>Niger</w:t>
            </w:r>
          </w:p>
        </w:tc>
        <w:tc>
          <w:tcPr>
            <w:tcW w:w="1540" w:type="dxa"/>
            <w:tcBorders>
              <w:top w:val="nil"/>
              <w:left w:val="nil"/>
              <w:bottom w:val="single" w:sz="4" w:space="0" w:color="auto"/>
              <w:right w:val="single" w:sz="4" w:space="0" w:color="auto"/>
            </w:tcBorders>
            <w:shd w:val="clear" w:color="auto" w:fill="auto"/>
            <w:vAlign w:val="center"/>
            <w:hideMark/>
          </w:tcPr>
          <w:p w14:paraId="3BED0CCB"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1010A14A"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14:paraId="690849AE"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117</w:t>
            </w:r>
          </w:p>
        </w:tc>
      </w:tr>
      <w:tr w:rsidR="0032335C" w:rsidRPr="00C63A39" w14:paraId="71EC0504"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4E2E52B8" w14:textId="10983554" w:rsidR="0032335C" w:rsidRPr="00C63A39" w:rsidRDefault="0032335C" w:rsidP="0032335C">
            <w:pPr>
              <w:rPr>
                <w:kern w:val="22"/>
                <w:szCs w:val="22"/>
                <w:lang w:val="fr-FR" w:eastAsia="en-CA"/>
              </w:rPr>
            </w:pPr>
            <w:r w:rsidRPr="00C63A39">
              <w:rPr>
                <w:szCs w:val="22"/>
                <w:lang w:val="fr-FR"/>
              </w:rPr>
              <w:t>Malte</w:t>
            </w:r>
          </w:p>
        </w:tc>
        <w:tc>
          <w:tcPr>
            <w:tcW w:w="1540" w:type="dxa"/>
            <w:tcBorders>
              <w:top w:val="nil"/>
              <w:left w:val="nil"/>
              <w:bottom w:val="single" w:sz="4" w:space="0" w:color="auto"/>
              <w:right w:val="single" w:sz="4" w:space="0" w:color="auto"/>
            </w:tcBorders>
            <w:shd w:val="clear" w:color="auto" w:fill="auto"/>
            <w:vAlign w:val="center"/>
            <w:hideMark/>
          </w:tcPr>
          <w:p w14:paraId="622836AE"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0.017 </w:t>
            </w:r>
          </w:p>
        </w:tc>
        <w:tc>
          <w:tcPr>
            <w:tcW w:w="1540" w:type="dxa"/>
            <w:tcBorders>
              <w:top w:val="nil"/>
              <w:left w:val="nil"/>
              <w:bottom w:val="single" w:sz="4" w:space="0" w:color="auto"/>
              <w:right w:val="single" w:sz="4" w:space="0" w:color="auto"/>
            </w:tcBorders>
            <w:shd w:val="clear" w:color="auto" w:fill="auto"/>
            <w:noWrap/>
            <w:vAlign w:val="center"/>
            <w:hideMark/>
          </w:tcPr>
          <w:p w14:paraId="3BC6A93F"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0.029 </w:t>
            </w:r>
          </w:p>
        </w:tc>
        <w:tc>
          <w:tcPr>
            <w:tcW w:w="1540" w:type="dxa"/>
            <w:tcBorders>
              <w:top w:val="nil"/>
              <w:left w:val="nil"/>
              <w:bottom w:val="single" w:sz="4" w:space="0" w:color="auto"/>
              <w:right w:val="single" w:sz="4" w:space="0" w:color="auto"/>
            </w:tcBorders>
            <w:shd w:val="clear" w:color="auto" w:fill="auto"/>
            <w:noWrap/>
            <w:vAlign w:val="center"/>
            <w:hideMark/>
          </w:tcPr>
          <w:p w14:paraId="4F57AF47"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497</w:t>
            </w:r>
          </w:p>
        </w:tc>
      </w:tr>
      <w:tr w:rsidR="0032335C" w:rsidRPr="00C63A39" w14:paraId="4E9C20AF"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06895C93" w14:textId="242EB738" w:rsidR="0032335C" w:rsidRPr="00C63A39" w:rsidRDefault="0032335C" w:rsidP="0032335C">
            <w:pPr>
              <w:rPr>
                <w:kern w:val="22"/>
                <w:szCs w:val="22"/>
                <w:lang w:val="fr-FR" w:eastAsia="en-CA"/>
              </w:rPr>
            </w:pPr>
            <w:r w:rsidRPr="00C63A39">
              <w:rPr>
                <w:szCs w:val="22"/>
                <w:lang w:val="fr-FR"/>
              </w:rPr>
              <w:t>Îles Marshall</w:t>
            </w:r>
          </w:p>
        </w:tc>
        <w:tc>
          <w:tcPr>
            <w:tcW w:w="1540" w:type="dxa"/>
            <w:tcBorders>
              <w:top w:val="nil"/>
              <w:left w:val="nil"/>
              <w:bottom w:val="single" w:sz="4" w:space="0" w:color="auto"/>
              <w:right w:val="single" w:sz="4" w:space="0" w:color="auto"/>
            </w:tcBorders>
            <w:shd w:val="clear" w:color="auto" w:fill="auto"/>
            <w:vAlign w:val="center"/>
            <w:hideMark/>
          </w:tcPr>
          <w:p w14:paraId="5EB11917"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4B1C6F35"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1CE314A8"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29</w:t>
            </w:r>
          </w:p>
        </w:tc>
      </w:tr>
      <w:tr w:rsidR="0032335C" w:rsidRPr="00C63A39" w14:paraId="34B5E521"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569EC77E" w14:textId="01FFB45A" w:rsidR="0032335C" w:rsidRPr="00C63A39" w:rsidRDefault="0032335C" w:rsidP="0032335C">
            <w:pPr>
              <w:rPr>
                <w:kern w:val="22"/>
                <w:szCs w:val="22"/>
                <w:lang w:val="fr-FR" w:eastAsia="en-CA"/>
              </w:rPr>
            </w:pPr>
            <w:r w:rsidRPr="00C63A39">
              <w:rPr>
                <w:szCs w:val="22"/>
                <w:lang w:val="fr-FR"/>
              </w:rPr>
              <w:t>Mauritanie</w:t>
            </w:r>
          </w:p>
        </w:tc>
        <w:tc>
          <w:tcPr>
            <w:tcW w:w="1540" w:type="dxa"/>
            <w:tcBorders>
              <w:top w:val="nil"/>
              <w:left w:val="nil"/>
              <w:bottom w:val="single" w:sz="4" w:space="0" w:color="auto"/>
              <w:right w:val="single" w:sz="4" w:space="0" w:color="auto"/>
            </w:tcBorders>
            <w:shd w:val="clear" w:color="auto" w:fill="auto"/>
            <w:vAlign w:val="center"/>
            <w:hideMark/>
          </w:tcPr>
          <w:p w14:paraId="24581886"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62B187CC"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4FB38303"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58</w:t>
            </w:r>
          </w:p>
        </w:tc>
      </w:tr>
      <w:tr w:rsidR="0032335C" w:rsidRPr="00C63A39" w14:paraId="1D4AEED9"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4123F110" w14:textId="7E283918" w:rsidR="0032335C" w:rsidRPr="00C63A39" w:rsidRDefault="0032335C" w:rsidP="0032335C">
            <w:pPr>
              <w:rPr>
                <w:kern w:val="22"/>
                <w:szCs w:val="22"/>
                <w:lang w:val="fr-FR" w:eastAsia="en-CA"/>
              </w:rPr>
            </w:pPr>
            <w:r w:rsidRPr="00C63A39">
              <w:rPr>
                <w:szCs w:val="22"/>
                <w:lang w:val="fr-FR"/>
              </w:rPr>
              <w:t>Maurice</w:t>
            </w:r>
          </w:p>
        </w:tc>
        <w:tc>
          <w:tcPr>
            <w:tcW w:w="1540" w:type="dxa"/>
            <w:tcBorders>
              <w:top w:val="nil"/>
              <w:left w:val="nil"/>
              <w:bottom w:val="single" w:sz="4" w:space="0" w:color="auto"/>
              <w:right w:val="single" w:sz="4" w:space="0" w:color="auto"/>
            </w:tcBorders>
            <w:shd w:val="clear" w:color="auto" w:fill="auto"/>
            <w:vAlign w:val="center"/>
            <w:hideMark/>
          </w:tcPr>
          <w:p w14:paraId="1AE3D6FF"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0.011 </w:t>
            </w:r>
          </w:p>
        </w:tc>
        <w:tc>
          <w:tcPr>
            <w:tcW w:w="1540" w:type="dxa"/>
            <w:tcBorders>
              <w:top w:val="nil"/>
              <w:left w:val="nil"/>
              <w:bottom w:val="single" w:sz="4" w:space="0" w:color="auto"/>
              <w:right w:val="single" w:sz="4" w:space="0" w:color="auto"/>
            </w:tcBorders>
            <w:shd w:val="clear" w:color="auto" w:fill="auto"/>
            <w:noWrap/>
            <w:vAlign w:val="center"/>
            <w:hideMark/>
          </w:tcPr>
          <w:p w14:paraId="31BBA27E"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0.019 </w:t>
            </w:r>
          </w:p>
        </w:tc>
        <w:tc>
          <w:tcPr>
            <w:tcW w:w="1540" w:type="dxa"/>
            <w:tcBorders>
              <w:top w:val="nil"/>
              <w:left w:val="nil"/>
              <w:bottom w:val="single" w:sz="4" w:space="0" w:color="auto"/>
              <w:right w:val="single" w:sz="4" w:space="0" w:color="auto"/>
            </w:tcBorders>
            <w:shd w:val="clear" w:color="auto" w:fill="auto"/>
            <w:noWrap/>
            <w:vAlign w:val="center"/>
            <w:hideMark/>
          </w:tcPr>
          <w:p w14:paraId="06559BE9"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322</w:t>
            </w:r>
          </w:p>
        </w:tc>
      </w:tr>
      <w:tr w:rsidR="0032335C" w:rsidRPr="00C63A39" w14:paraId="0D1E418E"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5EB9ACF5" w14:textId="2A9CC913" w:rsidR="0032335C" w:rsidRPr="00C63A39" w:rsidRDefault="0032335C" w:rsidP="0032335C">
            <w:pPr>
              <w:rPr>
                <w:kern w:val="22"/>
                <w:szCs w:val="22"/>
                <w:lang w:val="fr-FR" w:eastAsia="en-CA"/>
              </w:rPr>
            </w:pPr>
            <w:r w:rsidRPr="00C63A39">
              <w:rPr>
                <w:szCs w:val="22"/>
                <w:lang w:val="fr-FR"/>
              </w:rPr>
              <w:t>Mexique</w:t>
            </w:r>
          </w:p>
        </w:tc>
        <w:tc>
          <w:tcPr>
            <w:tcW w:w="1540" w:type="dxa"/>
            <w:tcBorders>
              <w:top w:val="nil"/>
              <w:left w:val="nil"/>
              <w:bottom w:val="single" w:sz="4" w:space="0" w:color="auto"/>
              <w:right w:val="single" w:sz="4" w:space="0" w:color="auto"/>
            </w:tcBorders>
            <w:shd w:val="clear" w:color="auto" w:fill="auto"/>
            <w:vAlign w:val="center"/>
            <w:hideMark/>
          </w:tcPr>
          <w:p w14:paraId="142D20B4"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1.292 </w:t>
            </w:r>
          </w:p>
        </w:tc>
        <w:tc>
          <w:tcPr>
            <w:tcW w:w="1540" w:type="dxa"/>
            <w:tcBorders>
              <w:top w:val="nil"/>
              <w:left w:val="nil"/>
              <w:bottom w:val="single" w:sz="4" w:space="0" w:color="auto"/>
              <w:right w:val="single" w:sz="4" w:space="0" w:color="auto"/>
            </w:tcBorders>
            <w:shd w:val="clear" w:color="auto" w:fill="auto"/>
            <w:noWrap/>
            <w:vAlign w:val="center"/>
            <w:hideMark/>
          </w:tcPr>
          <w:p w14:paraId="224C49DF"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2.229 </w:t>
            </w:r>
          </w:p>
        </w:tc>
        <w:tc>
          <w:tcPr>
            <w:tcW w:w="1540" w:type="dxa"/>
            <w:tcBorders>
              <w:top w:val="nil"/>
              <w:left w:val="nil"/>
              <w:bottom w:val="single" w:sz="4" w:space="0" w:color="auto"/>
              <w:right w:val="single" w:sz="4" w:space="0" w:color="auto"/>
            </w:tcBorders>
            <w:shd w:val="clear" w:color="auto" w:fill="auto"/>
            <w:noWrap/>
            <w:vAlign w:val="center"/>
            <w:hideMark/>
          </w:tcPr>
          <w:p w14:paraId="63BAB77E"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37,783</w:t>
            </w:r>
          </w:p>
        </w:tc>
      </w:tr>
      <w:tr w:rsidR="0032335C" w:rsidRPr="00C63A39" w14:paraId="7877F8C4"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5CC5A3D3" w14:textId="6C699800" w:rsidR="0032335C" w:rsidRPr="00C63A39" w:rsidRDefault="0032335C" w:rsidP="0032335C">
            <w:pPr>
              <w:rPr>
                <w:kern w:val="22"/>
                <w:szCs w:val="22"/>
                <w:lang w:val="fr-FR" w:eastAsia="en-CA"/>
              </w:rPr>
            </w:pPr>
            <w:r w:rsidRPr="00C63A39">
              <w:rPr>
                <w:szCs w:val="22"/>
                <w:lang w:val="fr-FR"/>
              </w:rPr>
              <w:t>Micronésie (États fédérés de)</w:t>
            </w:r>
          </w:p>
        </w:tc>
        <w:tc>
          <w:tcPr>
            <w:tcW w:w="1540" w:type="dxa"/>
            <w:tcBorders>
              <w:top w:val="nil"/>
              <w:left w:val="nil"/>
              <w:bottom w:val="single" w:sz="4" w:space="0" w:color="auto"/>
              <w:right w:val="single" w:sz="4" w:space="0" w:color="auto"/>
            </w:tcBorders>
            <w:shd w:val="clear" w:color="auto" w:fill="auto"/>
            <w:vAlign w:val="center"/>
            <w:hideMark/>
          </w:tcPr>
          <w:p w14:paraId="252ABB2F"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735BB245"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1FD2E3C0"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29</w:t>
            </w:r>
          </w:p>
        </w:tc>
      </w:tr>
      <w:tr w:rsidR="0032335C" w:rsidRPr="00C63A39" w14:paraId="37CB7DC7"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2D8F6400" w14:textId="57A3636F" w:rsidR="0032335C" w:rsidRPr="00C63A39" w:rsidRDefault="0032335C" w:rsidP="0032335C">
            <w:pPr>
              <w:rPr>
                <w:kern w:val="22"/>
                <w:szCs w:val="22"/>
                <w:lang w:val="fr-FR" w:eastAsia="en-CA"/>
              </w:rPr>
            </w:pPr>
            <w:r w:rsidRPr="00C63A39">
              <w:rPr>
                <w:szCs w:val="22"/>
                <w:lang w:val="fr-FR"/>
              </w:rPr>
              <w:t>Mongolie</w:t>
            </w:r>
          </w:p>
        </w:tc>
        <w:tc>
          <w:tcPr>
            <w:tcW w:w="1540" w:type="dxa"/>
            <w:tcBorders>
              <w:top w:val="nil"/>
              <w:left w:val="nil"/>
              <w:bottom w:val="single" w:sz="4" w:space="0" w:color="auto"/>
              <w:right w:val="single" w:sz="4" w:space="0" w:color="auto"/>
            </w:tcBorders>
            <w:shd w:val="clear" w:color="auto" w:fill="auto"/>
            <w:vAlign w:val="center"/>
            <w:hideMark/>
          </w:tcPr>
          <w:p w14:paraId="70FC23F2"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14:paraId="13FBF3DA"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14:paraId="43C6AC44"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146</w:t>
            </w:r>
          </w:p>
        </w:tc>
      </w:tr>
      <w:tr w:rsidR="0032335C" w:rsidRPr="00C63A39" w14:paraId="225303A3"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14A5034D" w14:textId="2387ED4D" w:rsidR="0032335C" w:rsidRPr="00C63A39" w:rsidRDefault="0032335C" w:rsidP="0032335C">
            <w:pPr>
              <w:rPr>
                <w:kern w:val="22"/>
                <w:szCs w:val="22"/>
                <w:lang w:val="fr-FR" w:eastAsia="en-CA"/>
              </w:rPr>
            </w:pPr>
            <w:r w:rsidRPr="00C63A39">
              <w:rPr>
                <w:szCs w:val="22"/>
                <w:lang w:val="fr-FR"/>
              </w:rPr>
              <w:t>Mozambique</w:t>
            </w:r>
          </w:p>
        </w:tc>
        <w:tc>
          <w:tcPr>
            <w:tcW w:w="1540" w:type="dxa"/>
            <w:tcBorders>
              <w:top w:val="nil"/>
              <w:left w:val="nil"/>
              <w:bottom w:val="single" w:sz="4" w:space="0" w:color="auto"/>
              <w:right w:val="single" w:sz="4" w:space="0" w:color="auto"/>
            </w:tcBorders>
            <w:shd w:val="clear" w:color="auto" w:fill="auto"/>
            <w:vAlign w:val="center"/>
            <w:hideMark/>
          </w:tcPr>
          <w:p w14:paraId="197C69CE"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54F3CC97"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14:paraId="27FCA502"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117</w:t>
            </w:r>
          </w:p>
        </w:tc>
      </w:tr>
      <w:tr w:rsidR="0032335C" w:rsidRPr="00C63A39" w14:paraId="44E97CDF"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65BF49BF" w14:textId="1FC31EE8" w:rsidR="0032335C" w:rsidRPr="00C63A39" w:rsidRDefault="0032335C" w:rsidP="0032335C">
            <w:pPr>
              <w:rPr>
                <w:kern w:val="22"/>
                <w:szCs w:val="22"/>
                <w:lang w:val="fr-FR" w:eastAsia="en-CA"/>
              </w:rPr>
            </w:pPr>
            <w:r w:rsidRPr="00C63A39">
              <w:rPr>
                <w:szCs w:val="22"/>
                <w:lang w:val="fr-FR"/>
              </w:rPr>
              <w:t>Myanmar</w:t>
            </w:r>
          </w:p>
        </w:tc>
        <w:tc>
          <w:tcPr>
            <w:tcW w:w="1540" w:type="dxa"/>
            <w:tcBorders>
              <w:top w:val="nil"/>
              <w:left w:val="nil"/>
              <w:bottom w:val="single" w:sz="4" w:space="0" w:color="auto"/>
              <w:right w:val="single" w:sz="4" w:space="0" w:color="auto"/>
            </w:tcBorders>
            <w:shd w:val="clear" w:color="auto" w:fill="auto"/>
            <w:vAlign w:val="center"/>
            <w:hideMark/>
          </w:tcPr>
          <w:p w14:paraId="767D13CD"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376DA37F"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04261B14"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170</w:t>
            </w:r>
          </w:p>
        </w:tc>
      </w:tr>
      <w:tr w:rsidR="0032335C" w:rsidRPr="00C63A39" w14:paraId="2FFD9CFC"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4C68501A" w14:textId="69AF2783" w:rsidR="0032335C" w:rsidRPr="00C63A39" w:rsidRDefault="0032335C" w:rsidP="0032335C">
            <w:pPr>
              <w:rPr>
                <w:kern w:val="22"/>
                <w:szCs w:val="22"/>
                <w:lang w:val="fr-FR" w:eastAsia="en-CA"/>
              </w:rPr>
            </w:pPr>
            <w:r w:rsidRPr="00C63A39">
              <w:rPr>
                <w:szCs w:val="22"/>
                <w:lang w:val="fr-FR"/>
              </w:rPr>
              <w:t>Namibie</w:t>
            </w:r>
          </w:p>
        </w:tc>
        <w:tc>
          <w:tcPr>
            <w:tcW w:w="1540" w:type="dxa"/>
            <w:tcBorders>
              <w:top w:val="nil"/>
              <w:left w:val="nil"/>
              <w:bottom w:val="single" w:sz="4" w:space="0" w:color="auto"/>
              <w:right w:val="single" w:sz="4" w:space="0" w:color="auto"/>
            </w:tcBorders>
            <w:shd w:val="clear" w:color="auto" w:fill="auto"/>
            <w:vAlign w:val="center"/>
            <w:hideMark/>
          </w:tcPr>
          <w:p w14:paraId="58D5CE29"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14:paraId="1D52D722"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0.016 </w:t>
            </w:r>
          </w:p>
        </w:tc>
        <w:tc>
          <w:tcPr>
            <w:tcW w:w="1540" w:type="dxa"/>
            <w:tcBorders>
              <w:top w:val="nil"/>
              <w:left w:val="nil"/>
              <w:bottom w:val="single" w:sz="4" w:space="0" w:color="auto"/>
              <w:right w:val="single" w:sz="4" w:space="0" w:color="auto"/>
            </w:tcBorders>
            <w:shd w:val="clear" w:color="auto" w:fill="auto"/>
            <w:noWrap/>
            <w:vAlign w:val="center"/>
            <w:hideMark/>
          </w:tcPr>
          <w:p w14:paraId="0E13FDD5"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263</w:t>
            </w:r>
          </w:p>
        </w:tc>
      </w:tr>
      <w:tr w:rsidR="0032335C" w:rsidRPr="00C63A39" w14:paraId="2D57425E"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2F7C49C3" w14:textId="2FACCB65" w:rsidR="0032335C" w:rsidRPr="00C63A39" w:rsidRDefault="0032335C" w:rsidP="0032335C">
            <w:pPr>
              <w:rPr>
                <w:kern w:val="22"/>
                <w:szCs w:val="22"/>
                <w:lang w:val="fr-FR" w:eastAsia="en-CA"/>
              </w:rPr>
            </w:pPr>
            <w:r w:rsidRPr="00C63A39">
              <w:rPr>
                <w:szCs w:val="22"/>
                <w:lang w:val="fr-FR"/>
              </w:rPr>
              <w:t>Népal</w:t>
            </w:r>
          </w:p>
        </w:tc>
        <w:tc>
          <w:tcPr>
            <w:tcW w:w="1540" w:type="dxa"/>
            <w:tcBorders>
              <w:top w:val="nil"/>
              <w:left w:val="nil"/>
              <w:bottom w:val="single" w:sz="4" w:space="0" w:color="auto"/>
              <w:right w:val="single" w:sz="4" w:space="0" w:color="auto"/>
            </w:tcBorders>
            <w:shd w:val="clear" w:color="auto" w:fill="auto"/>
            <w:vAlign w:val="center"/>
            <w:hideMark/>
          </w:tcPr>
          <w:p w14:paraId="4E268BFD"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14:paraId="37D5540F"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0.012 </w:t>
            </w:r>
          </w:p>
        </w:tc>
        <w:tc>
          <w:tcPr>
            <w:tcW w:w="1540" w:type="dxa"/>
            <w:tcBorders>
              <w:top w:val="nil"/>
              <w:left w:val="nil"/>
              <w:bottom w:val="single" w:sz="4" w:space="0" w:color="auto"/>
              <w:right w:val="single" w:sz="4" w:space="0" w:color="auto"/>
            </w:tcBorders>
            <w:shd w:val="clear" w:color="auto" w:fill="auto"/>
            <w:noWrap/>
            <w:vAlign w:val="center"/>
            <w:hideMark/>
          </w:tcPr>
          <w:p w14:paraId="0E06938D"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205</w:t>
            </w:r>
          </w:p>
        </w:tc>
      </w:tr>
      <w:tr w:rsidR="0032335C" w:rsidRPr="00C63A39" w14:paraId="192CF065"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0799E831" w14:textId="10CB2741" w:rsidR="0032335C" w:rsidRPr="00C63A39" w:rsidRDefault="0032335C" w:rsidP="0032335C">
            <w:pPr>
              <w:rPr>
                <w:kern w:val="22"/>
                <w:szCs w:val="22"/>
                <w:lang w:val="fr-FR" w:eastAsia="en-CA"/>
              </w:rPr>
            </w:pPr>
            <w:r w:rsidRPr="00C63A39">
              <w:rPr>
                <w:szCs w:val="22"/>
                <w:lang w:val="fr-FR"/>
              </w:rPr>
              <w:t>Pays-Bas</w:t>
            </w:r>
          </w:p>
        </w:tc>
        <w:tc>
          <w:tcPr>
            <w:tcW w:w="1540" w:type="dxa"/>
            <w:tcBorders>
              <w:top w:val="nil"/>
              <w:left w:val="nil"/>
              <w:bottom w:val="single" w:sz="4" w:space="0" w:color="auto"/>
              <w:right w:val="single" w:sz="4" w:space="0" w:color="auto"/>
            </w:tcBorders>
            <w:shd w:val="clear" w:color="auto" w:fill="auto"/>
            <w:vAlign w:val="center"/>
            <w:hideMark/>
          </w:tcPr>
          <w:p w14:paraId="366D63B0"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1.356 </w:t>
            </w:r>
          </w:p>
        </w:tc>
        <w:tc>
          <w:tcPr>
            <w:tcW w:w="1540" w:type="dxa"/>
            <w:tcBorders>
              <w:top w:val="nil"/>
              <w:left w:val="nil"/>
              <w:bottom w:val="single" w:sz="4" w:space="0" w:color="auto"/>
              <w:right w:val="single" w:sz="4" w:space="0" w:color="auto"/>
            </w:tcBorders>
            <w:shd w:val="clear" w:color="auto" w:fill="auto"/>
            <w:noWrap/>
            <w:vAlign w:val="center"/>
            <w:hideMark/>
          </w:tcPr>
          <w:p w14:paraId="1D962025"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2.340 </w:t>
            </w:r>
          </w:p>
        </w:tc>
        <w:tc>
          <w:tcPr>
            <w:tcW w:w="1540" w:type="dxa"/>
            <w:tcBorders>
              <w:top w:val="nil"/>
              <w:left w:val="nil"/>
              <w:bottom w:val="single" w:sz="4" w:space="0" w:color="auto"/>
              <w:right w:val="single" w:sz="4" w:space="0" w:color="auto"/>
            </w:tcBorders>
            <w:shd w:val="clear" w:color="auto" w:fill="auto"/>
            <w:noWrap/>
            <w:vAlign w:val="center"/>
            <w:hideMark/>
          </w:tcPr>
          <w:p w14:paraId="235BF0AD"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39,655</w:t>
            </w:r>
          </w:p>
        </w:tc>
      </w:tr>
      <w:tr w:rsidR="0032335C" w:rsidRPr="00C63A39" w14:paraId="397E0BB1"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6C0F1A78" w14:textId="0CED9D26" w:rsidR="0032335C" w:rsidRPr="00C63A39" w:rsidRDefault="0032335C" w:rsidP="0032335C">
            <w:pPr>
              <w:rPr>
                <w:kern w:val="22"/>
                <w:szCs w:val="22"/>
                <w:lang w:val="fr-FR" w:eastAsia="en-CA"/>
              </w:rPr>
            </w:pPr>
            <w:r w:rsidRPr="00C63A39">
              <w:rPr>
                <w:szCs w:val="22"/>
                <w:lang w:val="fr-FR"/>
              </w:rPr>
              <w:t>Nicaragua</w:t>
            </w:r>
          </w:p>
        </w:tc>
        <w:tc>
          <w:tcPr>
            <w:tcW w:w="1540" w:type="dxa"/>
            <w:tcBorders>
              <w:top w:val="nil"/>
              <w:left w:val="nil"/>
              <w:bottom w:val="single" w:sz="4" w:space="0" w:color="auto"/>
              <w:right w:val="single" w:sz="4" w:space="0" w:color="auto"/>
            </w:tcBorders>
            <w:shd w:val="clear" w:color="auto" w:fill="auto"/>
            <w:vAlign w:val="center"/>
            <w:hideMark/>
          </w:tcPr>
          <w:p w14:paraId="1A776E40"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14:paraId="72CD3C14"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14:paraId="4686B943"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146</w:t>
            </w:r>
          </w:p>
        </w:tc>
      </w:tr>
      <w:tr w:rsidR="0032335C" w:rsidRPr="00C63A39" w14:paraId="14F4016F"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339362AA" w14:textId="63FDFDA7" w:rsidR="0032335C" w:rsidRPr="00C63A39" w:rsidRDefault="0032335C" w:rsidP="0032335C">
            <w:pPr>
              <w:rPr>
                <w:kern w:val="22"/>
                <w:szCs w:val="22"/>
                <w:lang w:val="fr-FR" w:eastAsia="en-CA"/>
              </w:rPr>
            </w:pPr>
            <w:r w:rsidRPr="00C63A39">
              <w:rPr>
                <w:szCs w:val="22"/>
                <w:lang w:val="fr-FR"/>
              </w:rPr>
              <w:t>Niger</w:t>
            </w:r>
          </w:p>
        </w:tc>
        <w:tc>
          <w:tcPr>
            <w:tcW w:w="1540" w:type="dxa"/>
            <w:tcBorders>
              <w:top w:val="nil"/>
              <w:left w:val="nil"/>
              <w:bottom w:val="single" w:sz="4" w:space="0" w:color="auto"/>
              <w:right w:val="single" w:sz="4" w:space="0" w:color="auto"/>
            </w:tcBorders>
            <w:shd w:val="clear" w:color="auto" w:fill="auto"/>
            <w:vAlign w:val="center"/>
            <w:hideMark/>
          </w:tcPr>
          <w:p w14:paraId="383CD3AC"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10914501"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3010F0D6"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58</w:t>
            </w:r>
          </w:p>
        </w:tc>
      </w:tr>
    </w:tbl>
    <w:p w14:paraId="569F915A" w14:textId="6877B399" w:rsidR="00315701" w:rsidRPr="00C63A39" w:rsidRDefault="00315701" w:rsidP="000311B5">
      <w:pPr>
        <w:spacing w:after="160" w:line="259" w:lineRule="auto"/>
        <w:rPr>
          <w:b/>
          <w:bCs/>
          <w:snapToGrid w:val="0"/>
          <w:kern w:val="22"/>
          <w:szCs w:val="22"/>
          <w:lang w:val="fr-FR"/>
        </w:rPr>
      </w:pPr>
    </w:p>
    <w:p w14:paraId="5331D3E4" w14:textId="77777777" w:rsidR="00315701" w:rsidRPr="00C63A39" w:rsidRDefault="00315701">
      <w:pPr>
        <w:spacing w:after="160" w:line="259" w:lineRule="auto"/>
        <w:rPr>
          <w:b/>
          <w:bCs/>
          <w:snapToGrid w:val="0"/>
          <w:kern w:val="22"/>
          <w:szCs w:val="22"/>
          <w:lang w:val="fr-FR"/>
        </w:rPr>
      </w:pPr>
      <w:r w:rsidRPr="00C63A39">
        <w:rPr>
          <w:b/>
          <w:bCs/>
          <w:snapToGrid w:val="0"/>
          <w:kern w:val="22"/>
          <w:szCs w:val="22"/>
          <w:lang w:val="fr-FR"/>
        </w:rPr>
        <w:br w:type="page"/>
      </w:r>
    </w:p>
    <w:tbl>
      <w:tblPr>
        <w:tblW w:w="9420" w:type="dxa"/>
        <w:tblLook w:val="04A0" w:firstRow="1" w:lastRow="0" w:firstColumn="1" w:lastColumn="0" w:noHBand="0" w:noVBand="1"/>
      </w:tblPr>
      <w:tblGrid>
        <w:gridCol w:w="4800"/>
        <w:gridCol w:w="1540"/>
        <w:gridCol w:w="1540"/>
        <w:gridCol w:w="1540"/>
      </w:tblGrid>
      <w:tr w:rsidR="005F7E95" w:rsidRPr="00C63A39" w14:paraId="68558A64" w14:textId="77777777" w:rsidTr="00315701">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22140B" w14:textId="28CF7BFD" w:rsidR="005F7E95" w:rsidRPr="00C63A39" w:rsidRDefault="005F7E95" w:rsidP="005F7E95">
            <w:pPr>
              <w:jc w:val="center"/>
              <w:rPr>
                <w:b/>
                <w:bCs/>
                <w:kern w:val="22"/>
                <w:szCs w:val="22"/>
                <w:lang w:val="fr-FR" w:eastAsia="en-CA"/>
              </w:rPr>
            </w:pPr>
            <w:r w:rsidRPr="00C63A39">
              <w:rPr>
                <w:b/>
                <w:bCs/>
                <w:kern w:val="22"/>
                <w:szCs w:val="22"/>
                <w:lang w:val="fr-FR" w:eastAsia="en-CA"/>
              </w:rPr>
              <w:lastRenderedPageBreak/>
              <w:t>Partie</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7767C242" w14:textId="7F662DE8" w:rsidR="005F7E95" w:rsidRPr="00C63A39" w:rsidRDefault="005F7E95" w:rsidP="005F7E95">
            <w:pPr>
              <w:jc w:val="center"/>
              <w:rPr>
                <w:b/>
                <w:bCs/>
                <w:color w:val="000000"/>
                <w:kern w:val="22"/>
                <w:szCs w:val="22"/>
                <w:lang w:val="fr-FR" w:eastAsia="en-CA"/>
              </w:rPr>
            </w:pPr>
            <w:r w:rsidRPr="00C63A39">
              <w:rPr>
                <w:b/>
                <w:bCs/>
                <w:color w:val="000000"/>
                <w:kern w:val="22"/>
                <w:szCs w:val="22"/>
                <w:lang w:val="fr-FR" w:eastAsia="en-CA"/>
              </w:rPr>
              <w:t xml:space="preserve">Barème des quotes-parts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62945D21" w14:textId="1BADB3AD" w:rsidR="005F7E95" w:rsidRPr="00C63A39" w:rsidRDefault="005F7E95" w:rsidP="005F7E95">
            <w:pPr>
              <w:jc w:val="center"/>
              <w:rPr>
                <w:b/>
                <w:bCs/>
                <w:color w:val="000000"/>
                <w:kern w:val="22"/>
                <w:szCs w:val="22"/>
                <w:lang w:val="fr-FR" w:eastAsia="en-CA"/>
              </w:rPr>
            </w:pPr>
            <w:r w:rsidRPr="00C63A39">
              <w:rPr>
                <w:b/>
                <w:bCs/>
                <w:color w:val="000000"/>
                <w:kern w:val="22"/>
                <w:szCs w:val="22"/>
                <w:lang w:val="fr-FR" w:eastAsia="en-CA"/>
              </w:rPr>
              <w:t>Barème assorti d’un plafond de 22% ; aucun PMA ne paie plus de 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70C59E44" w14:textId="150AAE74" w:rsidR="005F7E95" w:rsidRPr="00C63A39" w:rsidRDefault="005F7E95" w:rsidP="005F7E95">
            <w:pPr>
              <w:jc w:val="center"/>
              <w:rPr>
                <w:b/>
                <w:bCs/>
                <w:color w:val="000000"/>
                <w:kern w:val="22"/>
                <w:szCs w:val="22"/>
                <w:lang w:val="fr-FR" w:eastAsia="en-CA"/>
              </w:rPr>
            </w:pPr>
            <w:r w:rsidRPr="00C63A39">
              <w:rPr>
                <w:b/>
                <w:bCs/>
                <w:color w:val="000000"/>
                <w:kern w:val="22"/>
                <w:szCs w:val="22"/>
                <w:lang w:val="fr-FR" w:eastAsia="en-CA"/>
              </w:rPr>
              <w:t>Contributions au 1er janvier 2020</w:t>
            </w:r>
          </w:p>
        </w:tc>
      </w:tr>
      <w:tr w:rsidR="0032335C" w:rsidRPr="00C63A39" w14:paraId="0E65646A"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34AB098D" w14:textId="65AD408E" w:rsidR="0032335C" w:rsidRPr="00C63A39" w:rsidRDefault="0032335C" w:rsidP="0032335C">
            <w:pPr>
              <w:rPr>
                <w:kern w:val="22"/>
                <w:szCs w:val="22"/>
                <w:lang w:val="fr-FR" w:eastAsia="en-CA"/>
              </w:rPr>
            </w:pPr>
            <w:r w:rsidRPr="00C63A39">
              <w:rPr>
                <w:szCs w:val="22"/>
                <w:lang w:val="fr-FR"/>
              </w:rPr>
              <w:t>Norvège</w:t>
            </w:r>
          </w:p>
        </w:tc>
        <w:tc>
          <w:tcPr>
            <w:tcW w:w="1540" w:type="dxa"/>
            <w:tcBorders>
              <w:top w:val="nil"/>
              <w:left w:val="nil"/>
              <w:bottom w:val="single" w:sz="4" w:space="0" w:color="auto"/>
              <w:right w:val="single" w:sz="4" w:space="0" w:color="auto"/>
            </w:tcBorders>
            <w:shd w:val="clear" w:color="auto" w:fill="auto"/>
            <w:vAlign w:val="center"/>
            <w:hideMark/>
          </w:tcPr>
          <w:p w14:paraId="209A3D4B"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0.754 </w:t>
            </w:r>
          </w:p>
        </w:tc>
        <w:tc>
          <w:tcPr>
            <w:tcW w:w="1540" w:type="dxa"/>
            <w:tcBorders>
              <w:top w:val="nil"/>
              <w:left w:val="nil"/>
              <w:bottom w:val="single" w:sz="4" w:space="0" w:color="auto"/>
              <w:right w:val="single" w:sz="4" w:space="0" w:color="auto"/>
            </w:tcBorders>
            <w:shd w:val="clear" w:color="auto" w:fill="auto"/>
            <w:noWrap/>
            <w:vAlign w:val="center"/>
            <w:hideMark/>
          </w:tcPr>
          <w:p w14:paraId="582E1C45"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1.301 </w:t>
            </w:r>
          </w:p>
        </w:tc>
        <w:tc>
          <w:tcPr>
            <w:tcW w:w="1540" w:type="dxa"/>
            <w:tcBorders>
              <w:top w:val="nil"/>
              <w:left w:val="nil"/>
              <w:bottom w:val="single" w:sz="4" w:space="0" w:color="auto"/>
              <w:right w:val="single" w:sz="4" w:space="0" w:color="auto"/>
            </w:tcBorders>
            <w:shd w:val="clear" w:color="auto" w:fill="auto"/>
            <w:noWrap/>
            <w:vAlign w:val="center"/>
            <w:hideMark/>
          </w:tcPr>
          <w:p w14:paraId="7BFF5B7A"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22,050</w:t>
            </w:r>
          </w:p>
        </w:tc>
      </w:tr>
      <w:tr w:rsidR="0032335C" w:rsidRPr="00C63A39" w14:paraId="4BE10F35"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62C9EB2E" w14:textId="05EC960C" w:rsidR="0032335C" w:rsidRPr="00C63A39" w:rsidRDefault="0032335C" w:rsidP="0032335C">
            <w:pPr>
              <w:rPr>
                <w:kern w:val="22"/>
                <w:szCs w:val="22"/>
                <w:lang w:val="fr-FR" w:eastAsia="en-CA"/>
              </w:rPr>
            </w:pPr>
            <w:r w:rsidRPr="00C63A39">
              <w:rPr>
                <w:szCs w:val="22"/>
                <w:lang w:val="fr-FR"/>
              </w:rPr>
              <w:t>Oman</w:t>
            </w:r>
          </w:p>
        </w:tc>
        <w:tc>
          <w:tcPr>
            <w:tcW w:w="1540" w:type="dxa"/>
            <w:tcBorders>
              <w:top w:val="nil"/>
              <w:left w:val="nil"/>
              <w:bottom w:val="single" w:sz="4" w:space="0" w:color="auto"/>
              <w:right w:val="single" w:sz="4" w:space="0" w:color="auto"/>
            </w:tcBorders>
            <w:shd w:val="clear" w:color="auto" w:fill="auto"/>
            <w:vAlign w:val="center"/>
            <w:hideMark/>
          </w:tcPr>
          <w:p w14:paraId="77503825"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0.115 </w:t>
            </w:r>
          </w:p>
        </w:tc>
        <w:tc>
          <w:tcPr>
            <w:tcW w:w="1540" w:type="dxa"/>
            <w:tcBorders>
              <w:top w:val="nil"/>
              <w:left w:val="nil"/>
              <w:bottom w:val="single" w:sz="4" w:space="0" w:color="auto"/>
              <w:right w:val="single" w:sz="4" w:space="0" w:color="auto"/>
            </w:tcBorders>
            <w:shd w:val="clear" w:color="auto" w:fill="auto"/>
            <w:noWrap/>
            <w:vAlign w:val="center"/>
            <w:hideMark/>
          </w:tcPr>
          <w:p w14:paraId="5B86EDFC"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0.198 </w:t>
            </w:r>
          </w:p>
        </w:tc>
        <w:tc>
          <w:tcPr>
            <w:tcW w:w="1540" w:type="dxa"/>
            <w:tcBorders>
              <w:top w:val="nil"/>
              <w:left w:val="nil"/>
              <w:bottom w:val="single" w:sz="4" w:space="0" w:color="auto"/>
              <w:right w:val="single" w:sz="4" w:space="0" w:color="auto"/>
            </w:tcBorders>
            <w:shd w:val="clear" w:color="auto" w:fill="auto"/>
            <w:noWrap/>
            <w:vAlign w:val="center"/>
            <w:hideMark/>
          </w:tcPr>
          <w:p w14:paraId="6264B0D7"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3,363</w:t>
            </w:r>
          </w:p>
        </w:tc>
      </w:tr>
      <w:tr w:rsidR="0032335C" w:rsidRPr="00C63A39" w14:paraId="2D4B9C5B"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14113BB3" w14:textId="52C7C108" w:rsidR="0032335C" w:rsidRPr="00C63A39" w:rsidRDefault="0032335C" w:rsidP="0032335C">
            <w:pPr>
              <w:rPr>
                <w:kern w:val="22"/>
                <w:szCs w:val="22"/>
                <w:lang w:val="fr-FR" w:eastAsia="en-CA"/>
              </w:rPr>
            </w:pPr>
            <w:r w:rsidRPr="00C63A39">
              <w:rPr>
                <w:szCs w:val="22"/>
                <w:lang w:val="fr-FR"/>
              </w:rPr>
              <w:t>Pakistan</w:t>
            </w:r>
          </w:p>
        </w:tc>
        <w:tc>
          <w:tcPr>
            <w:tcW w:w="1540" w:type="dxa"/>
            <w:tcBorders>
              <w:top w:val="nil"/>
              <w:left w:val="nil"/>
              <w:bottom w:val="single" w:sz="4" w:space="0" w:color="auto"/>
              <w:right w:val="single" w:sz="4" w:space="0" w:color="auto"/>
            </w:tcBorders>
            <w:shd w:val="clear" w:color="auto" w:fill="auto"/>
            <w:vAlign w:val="center"/>
            <w:hideMark/>
          </w:tcPr>
          <w:p w14:paraId="742BF487"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0.115 </w:t>
            </w:r>
          </w:p>
        </w:tc>
        <w:tc>
          <w:tcPr>
            <w:tcW w:w="1540" w:type="dxa"/>
            <w:tcBorders>
              <w:top w:val="nil"/>
              <w:left w:val="nil"/>
              <w:bottom w:val="single" w:sz="4" w:space="0" w:color="auto"/>
              <w:right w:val="single" w:sz="4" w:space="0" w:color="auto"/>
            </w:tcBorders>
            <w:shd w:val="clear" w:color="auto" w:fill="auto"/>
            <w:noWrap/>
            <w:vAlign w:val="center"/>
            <w:hideMark/>
          </w:tcPr>
          <w:p w14:paraId="5550C937"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0.198 </w:t>
            </w:r>
          </w:p>
        </w:tc>
        <w:tc>
          <w:tcPr>
            <w:tcW w:w="1540" w:type="dxa"/>
            <w:tcBorders>
              <w:top w:val="nil"/>
              <w:left w:val="nil"/>
              <w:bottom w:val="single" w:sz="4" w:space="0" w:color="auto"/>
              <w:right w:val="single" w:sz="4" w:space="0" w:color="auto"/>
            </w:tcBorders>
            <w:shd w:val="clear" w:color="auto" w:fill="auto"/>
            <w:noWrap/>
            <w:vAlign w:val="center"/>
            <w:hideMark/>
          </w:tcPr>
          <w:p w14:paraId="17442BA8"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3,363</w:t>
            </w:r>
          </w:p>
        </w:tc>
      </w:tr>
      <w:tr w:rsidR="0032335C" w:rsidRPr="00C63A39" w14:paraId="4C0B1756"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48BA1E1C" w14:textId="7F72F29F" w:rsidR="0032335C" w:rsidRPr="00C63A39" w:rsidRDefault="0032335C" w:rsidP="0032335C">
            <w:pPr>
              <w:rPr>
                <w:kern w:val="22"/>
                <w:szCs w:val="22"/>
                <w:lang w:val="fr-FR" w:eastAsia="en-CA"/>
              </w:rPr>
            </w:pPr>
            <w:r w:rsidRPr="00C63A39">
              <w:rPr>
                <w:szCs w:val="22"/>
                <w:lang w:val="fr-FR"/>
              </w:rPr>
              <w:t>Palau</w:t>
            </w:r>
          </w:p>
        </w:tc>
        <w:tc>
          <w:tcPr>
            <w:tcW w:w="1540" w:type="dxa"/>
            <w:tcBorders>
              <w:top w:val="nil"/>
              <w:left w:val="nil"/>
              <w:bottom w:val="single" w:sz="4" w:space="0" w:color="auto"/>
              <w:right w:val="single" w:sz="4" w:space="0" w:color="auto"/>
            </w:tcBorders>
            <w:shd w:val="clear" w:color="auto" w:fill="auto"/>
            <w:vAlign w:val="center"/>
            <w:hideMark/>
          </w:tcPr>
          <w:p w14:paraId="2721E3DA"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5A2EE734"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54689AE5"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29</w:t>
            </w:r>
          </w:p>
        </w:tc>
      </w:tr>
      <w:tr w:rsidR="0032335C" w:rsidRPr="00C63A39" w14:paraId="320BD886"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608B1768" w14:textId="683F1BF6" w:rsidR="0032335C" w:rsidRPr="00C63A39" w:rsidRDefault="0032335C" w:rsidP="0032335C">
            <w:pPr>
              <w:rPr>
                <w:kern w:val="22"/>
                <w:szCs w:val="22"/>
                <w:lang w:val="fr-FR" w:eastAsia="en-CA"/>
              </w:rPr>
            </w:pPr>
            <w:r w:rsidRPr="00C63A39">
              <w:rPr>
                <w:szCs w:val="22"/>
                <w:lang w:val="fr-FR"/>
              </w:rPr>
              <w:t>Panama</w:t>
            </w:r>
          </w:p>
        </w:tc>
        <w:tc>
          <w:tcPr>
            <w:tcW w:w="1540" w:type="dxa"/>
            <w:tcBorders>
              <w:top w:val="nil"/>
              <w:left w:val="nil"/>
              <w:bottom w:val="single" w:sz="4" w:space="0" w:color="auto"/>
              <w:right w:val="single" w:sz="4" w:space="0" w:color="auto"/>
            </w:tcBorders>
            <w:shd w:val="clear" w:color="auto" w:fill="auto"/>
            <w:vAlign w:val="center"/>
            <w:hideMark/>
          </w:tcPr>
          <w:p w14:paraId="530DD077"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0.045 </w:t>
            </w:r>
          </w:p>
        </w:tc>
        <w:tc>
          <w:tcPr>
            <w:tcW w:w="1540" w:type="dxa"/>
            <w:tcBorders>
              <w:top w:val="nil"/>
              <w:left w:val="nil"/>
              <w:bottom w:val="single" w:sz="4" w:space="0" w:color="auto"/>
              <w:right w:val="single" w:sz="4" w:space="0" w:color="auto"/>
            </w:tcBorders>
            <w:shd w:val="clear" w:color="auto" w:fill="auto"/>
            <w:noWrap/>
            <w:vAlign w:val="center"/>
            <w:hideMark/>
          </w:tcPr>
          <w:p w14:paraId="54033D58"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0.078 </w:t>
            </w:r>
          </w:p>
        </w:tc>
        <w:tc>
          <w:tcPr>
            <w:tcW w:w="1540" w:type="dxa"/>
            <w:tcBorders>
              <w:top w:val="nil"/>
              <w:left w:val="nil"/>
              <w:bottom w:val="single" w:sz="4" w:space="0" w:color="auto"/>
              <w:right w:val="single" w:sz="4" w:space="0" w:color="auto"/>
            </w:tcBorders>
            <w:shd w:val="clear" w:color="auto" w:fill="auto"/>
            <w:noWrap/>
            <w:vAlign w:val="center"/>
            <w:hideMark/>
          </w:tcPr>
          <w:p w14:paraId="1B554A30"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1,316</w:t>
            </w:r>
          </w:p>
        </w:tc>
      </w:tr>
      <w:tr w:rsidR="0032335C" w:rsidRPr="00C63A39" w14:paraId="6B425ECC"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0B7E524B" w14:textId="769AC4F4" w:rsidR="0032335C" w:rsidRPr="00C63A39" w:rsidRDefault="0032335C" w:rsidP="0032335C">
            <w:pPr>
              <w:rPr>
                <w:kern w:val="22"/>
                <w:szCs w:val="22"/>
                <w:lang w:val="fr-FR" w:eastAsia="en-CA"/>
              </w:rPr>
            </w:pPr>
            <w:r w:rsidRPr="00C63A39">
              <w:rPr>
                <w:szCs w:val="22"/>
                <w:lang w:val="fr-FR"/>
              </w:rPr>
              <w:t>Pérou</w:t>
            </w:r>
          </w:p>
        </w:tc>
        <w:tc>
          <w:tcPr>
            <w:tcW w:w="1540" w:type="dxa"/>
            <w:tcBorders>
              <w:top w:val="nil"/>
              <w:left w:val="nil"/>
              <w:bottom w:val="single" w:sz="4" w:space="0" w:color="auto"/>
              <w:right w:val="single" w:sz="4" w:space="0" w:color="auto"/>
            </w:tcBorders>
            <w:shd w:val="clear" w:color="auto" w:fill="auto"/>
            <w:vAlign w:val="center"/>
            <w:hideMark/>
          </w:tcPr>
          <w:p w14:paraId="0827B0E9"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0.152 </w:t>
            </w:r>
          </w:p>
        </w:tc>
        <w:tc>
          <w:tcPr>
            <w:tcW w:w="1540" w:type="dxa"/>
            <w:tcBorders>
              <w:top w:val="nil"/>
              <w:left w:val="nil"/>
              <w:bottom w:val="single" w:sz="4" w:space="0" w:color="auto"/>
              <w:right w:val="single" w:sz="4" w:space="0" w:color="auto"/>
            </w:tcBorders>
            <w:shd w:val="clear" w:color="auto" w:fill="auto"/>
            <w:noWrap/>
            <w:vAlign w:val="center"/>
            <w:hideMark/>
          </w:tcPr>
          <w:p w14:paraId="75BA8DD1"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0.262 </w:t>
            </w:r>
          </w:p>
        </w:tc>
        <w:tc>
          <w:tcPr>
            <w:tcW w:w="1540" w:type="dxa"/>
            <w:tcBorders>
              <w:top w:val="nil"/>
              <w:left w:val="nil"/>
              <w:bottom w:val="single" w:sz="4" w:space="0" w:color="auto"/>
              <w:right w:val="single" w:sz="4" w:space="0" w:color="auto"/>
            </w:tcBorders>
            <w:shd w:val="clear" w:color="auto" w:fill="auto"/>
            <w:noWrap/>
            <w:vAlign w:val="center"/>
            <w:hideMark/>
          </w:tcPr>
          <w:p w14:paraId="10DF8D74"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4,445</w:t>
            </w:r>
          </w:p>
        </w:tc>
      </w:tr>
      <w:tr w:rsidR="0032335C" w:rsidRPr="00C63A39" w14:paraId="7406435D"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6C3BB922" w14:textId="72B2C7A6" w:rsidR="0032335C" w:rsidRPr="00C63A39" w:rsidRDefault="0032335C" w:rsidP="0032335C">
            <w:pPr>
              <w:rPr>
                <w:kern w:val="22"/>
                <w:szCs w:val="22"/>
                <w:lang w:val="fr-FR" w:eastAsia="en-CA"/>
              </w:rPr>
            </w:pPr>
            <w:r w:rsidRPr="00C63A39">
              <w:rPr>
                <w:szCs w:val="22"/>
                <w:lang w:val="fr-FR"/>
              </w:rPr>
              <w:t>Philippines</w:t>
            </w:r>
          </w:p>
        </w:tc>
        <w:tc>
          <w:tcPr>
            <w:tcW w:w="1540" w:type="dxa"/>
            <w:tcBorders>
              <w:top w:val="nil"/>
              <w:left w:val="nil"/>
              <w:bottom w:val="single" w:sz="4" w:space="0" w:color="auto"/>
              <w:right w:val="single" w:sz="4" w:space="0" w:color="auto"/>
            </w:tcBorders>
            <w:shd w:val="clear" w:color="auto" w:fill="auto"/>
            <w:vAlign w:val="center"/>
            <w:hideMark/>
          </w:tcPr>
          <w:p w14:paraId="4A3A4576"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0.205 </w:t>
            </w:r>
          </w:p>
        </w:tc>
        <w:tc>
          <w:tcPr>
            <w:tcW w:w="1540" w:type="dxa"/>
            <w:tcBorders>
              <w:top w:val="nil"/>
              <w:left w:val="nil"/>
              <w:bottom w:val="single" w:sz="4" w:space="0" w:color="auto"/>
              <w:right w:val="single" w:sz="4" w:space="0" w:color="auto"/>
            </w:tcBorders>
            <w:shd w:val="clear" w:color="auto" w:fill="auto"/>
            <w:noWrap/>
            <w:vAlign w:val="center"/>
            <w:hideMark/>
          </w:tcPr>
          <w:p w14:paraId="3887A04D"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0.354 </w:t>
            </w:r>
          </w:p>
        </w:tc>
        <w:tc>
          <w:tcPr>
            <w:tcW w:w="1540" w:type="dxa"/>
            <w:tcBorders>
              <w:top w:val="nil"/>
              <w:left w:val="nil"/>
              <w:bottom w:val="single" w:sz="4" w:space="0" w:color="auto"/>
              <w:right w:val="single" w:sz="4" w:space="0" w:color="auto"/>
            </w:tcBorders>
            <w:shd w:val="clear" w:color="auto" w:fill="auto"/>
            <w:noWrap/>
            <w:vAlign w:val="center"/>
            <w:hideMark/>
          </w:tcPr>
          <w:p w14:paraId="461D7B0C"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5,995</w:t>
            </w:r>
          </w:p>
        </w:tc>
      </w:tr>
      <w:tr w:rsidR="0032335C" w:rsidRPr="00C63A39" w14:paraId="7A62157C"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2F5335FB" w14:textId="19246627" w:rsidR="0032335C" w:rsidRPr="00C63A39" w:rsidRDefault="0032335C" w:rsidP="0032335C">
            <w:pPr>
              <w:rPr>
                <w:kern w:val="22"/>
                <w:szCs w:val="22"/>
                <w:lang w:val="fr-FR" w:eastAsia="en-CA"/>
              </w:rPr>
            </w:pPr>
            <w:r w:rsidRPr="00C63A39">
              <w:rPr>
                <w:szCs w:val="22"/>
                <w:lang w:val="fr-FR"/>
              </w:rPr>
              <w:t>Portugal</w:t>
            </w:r>
          </w:p>
        </w:tc>
        <w:tc>
          <w:tcPr>
            <w:tcW w:w="1540" w:type="dxa"/>
            <w:tcBorders>
              <w:top w:val="nil"/>
              <w:left w:val="nil"/>
              <w:bottom w:val="single" w:sz="4" w:space="0" w:color="auto"/>
              <w:right w:val="single" w:sz="4" w:space="0" w:color="auto"/>
            </w:tcBorders>
            <w:shd w:val="clear" w:color="auto" w:fill="auto"/>
            <w:vAlign w:val="center"/>
            <w:hideMark/>
          </w:tcPr>
          <w:p w14:paraId="264AA6F1"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0.350 </w:t>
            </w:r>
          </w:p>
        </w:tc>
        <w:tc>
          <w:tcPr>
            <w:tcW w:w="1540" w:type="dxa"/>
            <w:tcBorders>
              <w:top w:val="nil"/>
              <w:left w:val="nil"/>
              <w:bottom w:val="single" w:sz="4" w:space="0" w:color="auto"/>
              <w:right w:val="single" w:sz="4" w:space="0" w:color="auto"/>
            </w:tcBorders>
            <w:shd w:val="clear" w:color="auto" w:fill="auto"/>
            <w:noWrap/>
            <w:vAlign w:val="center"/>
            <w:hideMark/>
          </w:tcPr>
          <w:p w14:paraId="18F32D57"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0.604 </w:t>
            </w:r>
          </w:p>
        </w:tc>
        <w:tc>
          <w:tcPr>
            <w:tcW w:w="1540" w:type="dxa"/>
            <w:tcBorders>
              <w:top w:val="nil"/>
              <w:left w:val="nil"/>
              <w:bottom w:val="single" w:sz="4" w:space="0" w:color="auto"/>
              <w:right w:val="single" w:sz="4" w:space="0" w:color="auto"/>
            </w:tcBorders>
            <w:shd w:val="clear" w:color="auto" w:fill="auto"/>
            <w:noWrap/>
            <w:vAlign w:val="center"/>
            <w:hideMark/>
          </w:tcPr>
          <w:p w14:paraId="441F2883"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10,235</w:t>
            </w:r>
          </w:p>
        </w:tc>
      </w:tr>
      <w:tr w:rsidR="0032335C" w:rsidRPr="00C63A39" w14:paraId="12F33680"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1FDF2578" w14:textId="6CF80BFA" w:rsidR="0032335C" w:rsidRPr="00C63A39" w:rsidRDefault="0032335C" w:rsidP="0032335C">
            <w:pPr>
              <w:rPr>
                <w:kern w:val="22"/>
                <w:szCs w:val="22"/>
                <w:lang w:val="fr-FR" w:eastAsia="en-CA"/>
              </w:rPr>
            </w:pPr>
            <w:r w:rsidRPr="00C63A39">
              <w:rPr>
                <w:szCs w:val="22"/>
                <w:lang w:val="fr-FR"/>
              </w:rPr>
              <w:t>Qatar</w:t>
            </w:r>
          </w:p>
        </w:tc>
        <w:tc>
          <w:tcPr>
            <w:tcW w:w="1540" w:type="dxa"/>
            <w:tcBorders>
              <w:top w:val="nil"/>
              <w:left w:val="nil"/>
              <w:bottom w:val="single" w:sz="4" w:space="0" w:color="auto"/>
              <w:right w:val="single" w:sz="4" w:space="0" w:color="auto"/>
            </w:tcBorders>
            <w:shd w:val="clear" w:color="auto" w:fill="auto"/>
            <w:vAlign w:val="center"/>
            <w:hideMark/>
          </w:tcPr>
          <w:p w14:paraId="4EAD23F7"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0.282 </w:t>
            </w:r>
          </w:p>
        </w:tc>
        <w:tc>
          <w:tcPr>
            <w:tcW w:w="1540" w:type="dxa"/>
            <w:tcBorders>
              <w:top w:val="nil"/>
              <w:left w:val="nil"/>
              <w:bottom w:val="single" w:sz="4" w:space="0" w:color="auto"/>
              <w:right w:val="single" w:sz="4" w:space="0" w:color="auto"/>
            </w:tcBorders>
            <w:shd w:val="clear" w:color="auto" w:fill="auto"/>
            <w:noWrap/>
            <w:vAlign w:val="center"/>
            <w:hideMark/>
          </w:tcPr>
          <w:p w14:paraId="63499D7C"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0.487 </w:t>
            </w:r>
          </w:p>
        </w:tc>
        <w:tc>
          <w:tcPr>
            <w:tcW w:w="1540" w:type="dxa"/>
            <w:tcBorders>
              <w:top w:val="nil"/>
              <w:left w:val="nil"/>
              <w:bottom w:val="single" w:sz="4" w:space="0" w:color="auto"/>
              <w:right w:val="single" w:sz="4" w:space="0" w:color="auto"/>
            </w:tcBorders>
            <w:shd w:val="clear" w:color="auto" w:fill="auto"/>
            <w:noWrap/>
            <w:vAlign w:val="center"/>
            <w:hideMark/>
          </w:tcPr>
          <w:p w14:paraId="1A2B8753"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8,247</w:t>
            </w:r>
          </w:p>
        </w:tc>
      </w:tr>
      <w:tr w:rsidR="0032335C" w:rsidRPr="00C63A39" w14:paraId="431BCD3B"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177E7A95" w14:textId="59B6A659" w:rsidR="0032335C" w:rsidRPr="00C63A39" w:rsidRDefault="0032335C" w:rsidP="0032335C">
            <w:pPr>
              <w:rPr>
                <w:kern w:val="22"/>
                <w:szCs w:val="22"/>
                <w:lang w:val="fr-FR" w:eastAsia="en-CA"/>
              </w:rPr>
            </w:pPr>
            <w:r w:rsidRPr="00C63A39">
              <w:rPr>
                <w:szCs w:val="22"/>
                <w:lang w:val="fr-FR"/>
              </w:rPr>
              <w:t>République de Corée</w:t>
            </w:r>
          </w:p>
        </w:tc>
        <w:tc>
          <w:tcPr>
            <w:tcW w:w="1540" w:type="dxa"/>
            <w:tcBorders>
              <w:top w:val="nil"/>
              <w:left w:val="nil"/>
              <w:bottom w:val="single" w:sz="4" w:space="0" w:color="auto"/>
              <w:right w:val="single" w:sz="4" w:space="0" w:color="auto"/>
            </w:tcBorders>
            <w:shd w:val="clear" w:color="auto" w:fill="auto"/>
            <w:vAlign w:val="center"/>
            <w:hideMark/>
          </w:tcPr>
          <w:p w14:paraId="6A3174CD"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2.267 </w:t>
            </w:r>
          </w:p>
        </w:tc>
        <w:tc>
          <w:tcPr>
            <w:tcW w:w="1540" w:type="dxa"/>
            <w:tcBorders>
              <w:top w:val="nil"/>
              <w:left w:val="nil"/>
              <w:bottom w:val="single" w:sz="4" w:space="0" w:color="auto"/>
              <w:right w:val="single" w:sz="4" w:space="0" w:color="auto"/>
            </w:tcBorders>
            <w:shd w:val="clear" w:color="auto" w:fill="auto"/>
            <w:noWrap/>
            <w:vAlign w:val="center"/>
            <w:hideMark/>
          </w:tcPr>
          <w:p w14:paraId="065AD20A"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3.911 </w:t>
            </w:r>
          </w:p>
        </w:tc>
        <w:tc>
          <w:tcPr>
            <w:tcW w:w="1540" w:type="dxa"/>
            <w:tcBorders>
              <w:top w:val="nil"/>
              <w:left w:val="nil"/>
              <w:bottom w:val="single" w:sz="4" w:space="0" w:color="auto"/>
              <w:right w:val="single" w:sz="4" w:space="0" w:color="auto"/>
            </w:tcBorders>
            <w:shd w:val="clear" w:color="auto" w:fill="auto"/>
            <w:noWrap/>
            <w:vAlign w:val="center"/>
            <w:hideMark/>
          </w:tcPr>
          <w:p w14:paraId="65387CE2"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66,296</w:t>
            </w:r>
          </w:p>
        </w:tc>
      </w:tr>
      <w:tr w:rsidR="0032335C" w:rsidRPr="00C63A39" w14:paraId="524BBF84"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1C9D3630" w14:textId="7B3CD4AE" w:rsidR="0032335C" w:rsidRPr="00C63A39" w:rsidRDefault="0032335C" w:rsidP="0032335C">
            <w:pPr>
              <w:rPr>
                <w:kern w:val="22"/>
                <w:szCs w:val="22"/>
                <w:lang w:val="fr-FR" w:eastAsia="en-CA"/>
              </w:rPr>
            </w:pPr>
            <w:r w:rsidRPr="00C63A39">
              <w:rPr>
                <w:szCs w:val="22"/>
                <w:lang w:val="fr-FR"/>
              </w:rPr>
              <w:t>République de Moldavie</w:t>
            </w:r>
          </w:p>
        </w:tc>
        <w:tc>
          <w:tcPr>
            <w:tcW w:w="1540" w:type="dxa"/>
            <w:tcBorders>
              <w:top w:val="nil"/>
              <w:left w:val="nil"/>
              <w:bottom w:val="single" w:sz="4" w:space="0" w:color="auto"/>
              <w:right w:val="single" w:sz="4" w:space="0" w:color="auto"/>
            </w:tcBorders>
            <w:shd w:val="clear" w:color="auto" w:fill="auto"/>
            <w:vAlign w:val="center"/>
            <w:hideMark/>
          </w:tcPr>
          <w:p w14:paraId="56349C8A"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3B663073"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14:paraId="5A5D8F35"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88</w:t>
            </w:r>
          </w:p>
        </w:tc>
      </w:tr>
      <w:tr w:rsidR="0032335C" w:rsidRPr="00C63A39" w14:paraId="58FB8872"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3EFF0DEF" w14:textId="1B5E9B28" w:rsidR="0032335C" w:rsidRPr="00C63A39" w:rsidRDefault="0032335C" w:rsidP="0032335C">
            <w:pPr>
              <w:rPr>
                <w:kern w:val="22"/>
                <w:szCs w:val="22"/>
                <w:lang w:val="fr-FR" w:eastAsia="en-CA"/>
              </w:rPr>
            </w:pPr>
            <w:r w:rsidRPr="00C63A39">
              <w:rPr>
                <w:szCs w:val="22"/>
                <w:lang w:val="fr-FR"/>
              </w:rPr>
              <w:t>Roumanie</w:t>
            </w:r>
          </w:p>
        </w:tc>
        <w:tc>
          <w:tcPr>
            <w:tcW w:w="1540" w:type="dxa"/>
            <w:tcBorders>
              <w:top w:val="nil"/>
              <w:left w:val="nil"/>
              <w:bottom w:val="single" w:sz="4" w:space="0" w:color="auto"/>
              <w:right w:val="single" w:sz="4" w:space="0" w:color="auto"/>
            </w:tcBorders>
            <w:shd w:val="clear" w:color="auto" w:fill="auto"/>
            <w:vAlign w:val="center"/>
            <w:hideMark/>
          </w:tcPr>
          <w:p w14:paraId="59C661A4"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0.198 </w:t>
            </w:r>
          </w:p>
        </w:tc>
        <w:tc>
          <w:tcPr>
            <w:tcW w:w="1540" w:type="dxa"/>
            <w:tcBorders>
              <w:top w:val="nil"/>
              <w:left w:val="nil"/>
              <w:bottom w:val="single" w:sz="4" w:space="0" w:color="auto"/>
              <w:right w:val="single" w:sz="4" w:space="0" w:color="auto"/>
            </w:tcBorders>
            <w:shd w:val="clear" w:color="auto" w:fill="auto"/>
            <w:noWrap/>
            <w:vAlign w:val="center"/>
            <w:hideMark/>
          </w:tcPr>
          <w:p w14:paraId="2A9CA5EC"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0.342 </w:t>
            </w:r>
          </w:p>
        </w:tc>
        <w:tc>
          <w:tcPr>
            <w:tcW w:w="1540" w:type="dxa"/>
            <w:tcBorders>
              <w:top w:val="nil"/>
              <w:left w:val="nil"/>
              <w:bottom w:val="single" w:sz="4" w:space="0" w:color="auto"/>
              <w:right w:val="single" w:sz="4" w:space="0" w:color="auto"/>
            </w:tcBorders>
            <w:shd w:val="clear" w:color="auto" w:fill="auto"/>
            <w:noWrap/>
            <w:vAlign w:val="center"/>
            <w:hideMark/>
          </w:tcPr>
          <w:p w14:paraId="5696244D"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5,790</w:t>
            </w:r>
          </w:p>
        </w:tc>
      </w:tr>
      <w:tr w:rsidR="0032335C" w:rsidRPr="00C63A39" w14:paraId="723A6589"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44AE5B86" w14:textId="324817E8" w:rsidR="0032335C" w:rsidRPr="00C63A39" w:rsidRDefault="0032335C" w:rsidP="0032335C">
            <w:pPr>
              <w:rPr>
                <w:kern w:val="22"/>
                <w:szCs w:val="22"/>
                <w:lang w:val="fr-FR" w:eastAsia="en-CA"/>
              </w:rPr>
            </w:pPr>
            <w:r w:rsidRPr="00C63A39">
              <w:rPr>
                <w:szCs w:val="22"/>
                <w:lang w:val="fr-FR"/>
              </w:rPr>
              <w:t>Rwanda</w:t>
            </w:r>
          </w:p>
        </w:tc>
        <w:tc>
          <w:tcPr>
            <w:tcW w:w="1540" w:type="dxa"/>
            <w:tcBorders>
              <w:top w:val="nil"/>
              <w:left w:val="nil"/>
              <w:bottom w:val="single" w:sz="4" w:space="0" w:color="auto"/>
              <w:right w:val="single" w:sz="4" w:space="0" w:color="auto"/>
            </w:tcBorders>
            <w:shd w:val="clear" w:color="auto" w:fill="auto"/>
            <w:vAlign w:val="center"/>
            <w:hideMark/>
          </w:tcPr>
          <w:p w14:paraId="6FFA02E9"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654E9FAD"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14:paraId="14509395"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88</w:t>
            </w:r>
          </w:p>
        </w:tc>
      </w:tr>
      <w:tr w:rsidR="0032335C" w:rsidRPr="00C63A39" w14:paraId="59FEDF06"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455631A1" w14:textId="69E8461D" w:rsidR="0032335C" w:rsidRPr="00C63A39" w:rsidRDefault="0032335C" w:rsidP="0032335C">
            <w:pPr>
              <w:rPr>
                <w:kern w:val="22"/>
                <w:szCs w:val="22"/>
                <w:lang w:val="fr-FR" w:eastAsia="en-CA"/>
              </w:rPr>
            </w:pPr>
            <w:r w:rsidRPr="00C63A39">
              <w:rPr>
                <w:szCs w:val="22"/>
                <w:lang w:val="fr-FR"/>
              </w:rPr>
              <w:t>Saint-Christophe-et-Nevis</w:t>
            </w:r>
          </w:p>
        </w:tc>
        <w:tc>
          <w:tcPr>
            <w:tcW w:w="1540" w:type="dxa"/>
            <w:tcBorders>
              <w:top w:val="nil"/>
              <w:left w:val="nil"/>
              <w:bottom w:val="single" w:sz="4" w:space="0" w:color="auto"/>
              <w:right w:val="single" w:sz="4" w:space="0" w:color="auto"/>
            </w:tcBorders>
            <w:shd w:val="clear" w:color="auto" w:fill="auto"/>
            <w:vAlign w:val="center"/>
            <w:hideMark/>
          </w:tcPr>
          <w:p w14:paraId="16BAC6E1"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166C73F7"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59A9967B"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29</w:t>
            </w:r>
          </w:p>
        </w:tc>
      </w:tr>
      <w:tr w:rsidR="0032335C" w:rsidRPr="00C63A39" w14:paraId="37B79D77"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21BECA10" w14:textId="5BB66A54" w:rsidR="0032335C" w:rsidRPr="00C63A39" w:rsidRDefault="0032335C" w:rsidP="0032335C">
            <w:pPr>
              <w:rPr>
                <w:kern w:val="22"/>
                <w:szCs w:val="22"/>
                <w:lang w:val="fr-FR" w:eastAsia="en-CA"/>
              </w:rPr>
            </w:pPr>
            <w:r w:rsidRPr="00C63A39">
              <w:rPr>
                <w:szCs w:val="22"/>
                <w:lang w:val="fr-FR"/>
              </w:rPr>
              <w:t>Samoa</w:t>
            </w:r>
          </w:p>
        </w:tc>
        <w:tc>
          <w:tcPr>
            <w:tcW w:w="1540" w:type="dxa"/>
            <w:tcBorders>
              <w:top w:val="nil"/>
              <w:left w:val="nil"/>
              <w:bottom w:val="single" w:sz="4" w:space="0" w:color="auto"/>
              <w:right w:val="single" w:sz="4" w:space="0" w:color="auto"/>
            </w:tcBorders>
            <w:shd w:val="clear" w:color="auto" w:fill="auto"/>
            <w:vAlign w:val="center"/>
            <w:hideMark/>
          </w:tcPr>
          <w:p w14:paraId="2F5A9C55"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422C3E86"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366765C2"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29</w:t>
            </w:r>
          </w:p>
        </w:tc>
      </w:tr>
      <w:tr w:rsidR="0032335C" w:rsidRPr="00C63A39" w14:paraId="58C05A8C"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1A20BDD7" w14:textId="0464C663" w:rsidR="0032335C" w:rsidRPr="00C63A39" w:rsidRDefault="0032335C" w:rsidP="0032335C">
            <w:pPr>
              <w:rPr>
                <w:kern w:val="22"/>
                <w:szCs w:val="22"/>
                <w:lang w:val="fr-FR" w:eastAsia="en-CA"/>
              </w:rPr>
            </w:pPr>
            <w:r w:rsidRPr="00C63A39">
              <w:rPr>
                <w:szCs w:val="22"/>
                <w:lang w:val="fr-FR"/>
              </w:rPr>
              <w:t>S</w:t>
            </w:r>
            <w:r w:rsidR="00C51A89" w:rsidRPr="00C63A39">
              <w:rPr>
                <w:szCs w:val="22"/>
                <w:lang w:val="fr-FR"/>
              </w:rPr>
              <w:t>ão Tomé et Prí</w:t>
            </w:r>
            <w:r w:rsidRPr="00C63A39">
              <w:rPr>
                <w:szCs w:val="22"/>
                <w:lang w:val="fr-FR"/>
              </w:rPr>
              <w:t>ncipe</w:t>
            </w:r>
          </w:p>
        </w:tc>
        <w:tc>
          <w:tcPr>
            <w:tcW w:w="1540" w:type="dxa"/>
            <w:tcBorders>
              <w:top w:val="nil"/>
              <w:left w:val="nil"/>
              <w:bottom w:val="single" w:sz="4" w:space="0" w:color="auto"/>
              <w:right w:val="single" w:sz="4" w:space="0" w:color="auto"/>
            </w:tcBorders>
            <w:shd w:val="clear" w:color="auto" w:fill="auto"/>
            <w:vAlign w:val="center"/>
            <w:hideMark/>
          </w:tcPr>
          <w:p w14:paraId="751FB240"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5C063696"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756903B6"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29</w:t>
            </w:r>
          </w:p>
        </w:tc>
      </w:tr>
      <w:tr w:rsidR="0032335C" w:rsidRPr="00C63A39" w14:paraId="2230951F"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665E8965" w14:textId="70A3A1DC" w:rsidR="0032335C" w:rsidRPr="00C63A39" w:rsidRDefault="0032335C" w:rsidP="0032335C">
            <w:pPr>
              <w:rPr>
                <w:kern w:val="22"/>
                <w:szCs w:val="22"/>
                <w:lang w:val="fr-FR" w:eastAsia="en-CA"/>
              </w:rPr>
            </w:pPr>
            <w:r w:rsidRPr="00C63A39">
              <w:rPr>
                <w:szCs w:val="22"/>
                <w:lang w:val="fr-FR"/>
              </w:rPr>
              <w:t>Sénégal</w:t>
            </w:r>
          </w:p>
        </w:tc>
        <w:tc>
          <w:tcPr>
            <w:tcW w:w="1540" w:type="dxa"/>
            <w:tcBorders>
              <w:top w:val="nil"/>
              <w:left w:val="nil"/>
              <w:bottom w:val="single" w:sz="4" w:space="0" w:color="auto"/>
              <w:right w:val="single" w:sz="4" w:space="0" w:color="auto"/>
            </w:tcBorders>
            <w:shd w:val="clear" w:color="auto" w:fill="auto"/>
            <w:vAlign w:val="center"/>
            <w:hideMark/>
          </w:tcPr>
          <w:p w14:paraId="53C9CE0B"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14:paraId="7FF25A7A"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0F85FC66"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170</w:t>
            </w:r>
          </w:p>
        </w:tc>
      </w:tr>
      <w:tr w:rsidR="0032335C" w:rsidRPr="00C63A39" w14:paraId="001A2346"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3CD5855A" w14:textId="28BA9784" w:rsidR="0032335C" w:rsidRPr="00C63A39" w:rsidRDefault="0032335C" w:rsidP="0032335C">
            <w:pPr>
              <w:rPr>
                <w:kern w:val="22"/>
                <w:szCs w:val="22"/>
                <w:lang w:val="fr-FR" w:eastAsia="en-CA"/>
              </w:rPr>
            </w:pPr>
            <w:r w:rsidRPr="00C63A39">
              <w:rPr>
                <w:szCs w:val="22"/>
                <w:lang w:val="fr-FR"/>
              </w:rPr>
              <w:t>Serbie</w:t>
            </w:r>
          </w:p>
        </w:tc>
        <w:tc>
          <w:tcPr>
            <w:tcW w:w="1540" w:type="dxa"/>
            <w:tcBorders>
              <w:top w:val="nil"/>
              <w:left w:val="nil"/>
              <w:bottom w:val="single" w:sz="4" w:space="0" w:color="auto"/>
              <w:right w:val="single" w:sz="4" w:space="0" w:color="auto"/>
            </w:tcBorders>
            <w:shd w:val="clear" w:color="auto" w:fill="auto"/>
            <w:vAlign w:val="center"/>
            <w:hideMark/>
          </w:tcPr>
          <w:p w14:paraId="6669A549"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0.028 </w:t>
            </w:r>
          </w:p>
        </w:tc>
        <w:tc>
          <w:tcPr>
            <w:tcW w:w="1540" w:type="dxa"/>
            <w:tcBorders>
              <w:top w:val="nil"/>
              <w:left w:val="nil"/>
              <w:bottom w:val="single" w:sz="4" w:space="0" w:color="auto"/>
              <w:right w:val="single" w:sz="4" w:space="0" w:color="auto"/>
            </w:tcBorders>
            <w:shd w:val="clear" w:color="auto" w:fill="auto"/>
            <w:noWrap/>
            <w:vAlign w:val="center"/>
            <w:hideMark/>
          </w:tcPr>
          <w:p w14:paraId="7DF6C851"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0.048 </w:t>
            </w:r>
          </w:p>
        </w:tc>
        <w:tc>
          <w:tcPr>
            <w:tcW w:w="1540" w:type="dxa"/>
            <w:tcBorders>
              <w:top w:val="nil"/>
              <w:left w:val="nil"/>
              <w:bottom w:val="single" w:sz="4" w:space="0" w:color="auto"/>
              <w:right w:val="single" w:sz="4" w:space="0" w:color="auto"/>
            </w:tcBorders>
            <w:shd w:val="clear" w:color="auto" w:fill="auto"/>
            <w:noWrap/>
            <w:vAlign w:val="center"/>
            <w:hideMark/>
          </w:tcPr>
          <w:p w14:paraId="7F6FD3B8"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819</w:t>
            </w:r>
          </w:p>
        </w:tc>
      </w:tr>
      <w:tr w:rsidR="0032335C" w:rsidRPr="00C63A39" w14:paraId="65C15F05"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05C7D76D" w14:textId="32886DB0" w:rsidR="0032335C" w:rsidRPr="00C63A39" w:rsidRDefault="0032335C" w:rsidP="0032335C">
            <w:pPr>
              <w:rPr>
                <w:kern w:val="22"/>
                <w:szCs w:val="22"/>
                <w:lang w:val="fr-FR" w:eastAsia="en-CA"/>
              </w:rPr>
            </w:pPr>
            <w:r w:rsidRPr="00C63A39">
              <w:rPr>
                <w:szCs w:val="22"/>
                <w:lang w:val="fr-FR"/>
              </w:rPr>
              <w:t>Seychelles</w:t>
            </w:r>
          </w:p>
        </w:tc>
        <w:tc>
          <w:tcPr>
            <w:tcW w:w="1540" w:type="dxa"/>
            <w:tcBorders>
              <w:top w:val="nil"/>
              <w:left w:val="nil"/>
              <w:bottom w:val="single" w:sz="4" w:space="0" w:color="auto"/>
              <w:right w:val="single" w:sz="4" w:space="0" w:color="auto"/>
            </w:tcBorders>
            <w:shd w:val="clear" w:color="auto" w:fill="auto"/>
            <w:vAlign w:val="center"/>
            <w:hideMark/>
          </w:tcPr>
          <w:p w14:paraId="5EA01D68"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3F94F875"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510C73C0"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58</w:t>
            </w:r>
          </w:p>
        </w:tc>
      </w:tr>
      <w:tr w:rsidR="0032335C" w:rsidRPr="00C63A39" w14:paraId="1A0B4D1F"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46672D97" w14:textId="00C7ECE1" w:rsidR="0032335C" w:rsidRPr="00C63A39" w:rsidRDefault="0032335C" w:rsidP="0032335C">
            <w:pPr>
              <w:rPr>
                <w:kern w:val="22"/>
                <w:szCs w:val="22"/>
                <w:lang w:val="fr-FR" w:eastAsia="en-CA"/>
              </w:rPr>
            </w:pPr>
            <w:r w:rsidRPr="00C63A39">
              <w:rPr>
                <w:szCs w:val="22"/>
                <w:lang w:val="fr-FR"/>
              </w:rPr>
              <w:t>Sierra Leone</w:t>
            </w:r>
          </w:p>
        </w:tc>
        <w:tc>
          <w:tcPr>
            <w:tcW w:w="1540" w:type="dxa"/>
            <w:tcBorders>
              <w:top w:val="nil"/>
              <w:left w:val="nil"/>
              <w:bottom w:val="single" w:sz="4" w:space="0" w:color="auto"/>
              <w:right w:val="single" w:sz="4" w:space="0" w:color="auto"/>
            </w:tcBorders>
            <w:shd w:val="clear" w:color="auto" w:fill="auto"/>
            <w:vAlign w:val="center"/>
            <w:hideMark/>
          </w:tcPr>
          <w:p w14:paraId="7F4CCD79"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40739012"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2C6AD8C8"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29</w:t>
            </w:r>
          </w:p>
        </w:tc>
      </w:tr>
      <w:tr w:rsidR="0032335C" w:rsidRPr="00C63A39" w14:paraId="0BD25675"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3E9A5748" w14:textId="2716F107" w:rsidR="0032335C" w:rsidRPr="00C63A39" w:rsidRDefault="0032335C" w:rsidP="0032335C">
            <w:pPr>
              <w:rPr>
                <w:kern w:val="22"/>
                <w:szCs w:val="22"/>
                <w:lang w:val="fr-FR" w:eastAsia="en-CA"/>
              </w:rPr>
            </w:pPr>
            <w:r w:rsidRPr="00C63A39">
              <w:rPr>
                <w:szCs w:val="22"/>
                <w:lang w:val="fr-FR"/>
              </w:rPr>
              <w:t>Slovaquie</w:t>
            </w:r>
          </w:p>
        </w:tc>
        <w:tc>
          <w:tcPr>
            <w:tcW w:w="1540" w:type="dxa"/>
            <w:tcBorders>
              <w:top w:val="nil"/>
              <w:left w:val="nil"/>
              <w:bottom w:val="single" w:sz="4" w:space="0" w:color="auto"/>
              <w:right w:val="single" w:sz="4" w:space="0" w:color="auto"/>
            </w:tcBorders>
            <w:shd w:val="clear" w:color="auto" w:fill="auto"/>
            <w:vAlign w:val="center"/>
            <w:hideMark/>
          </w:tcPr>
          <w:p w14:paraId="421347C3"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0.153 </w:t>
            </w:r>
          </w:p>
        </w:tc>
        <w:tc>
          <w:tcPr>
            <w:tcW w:w="1540" w:type="dxa"/>
            <w:tcBorders>
              <w:top w:val="nil"/>
              <w:left w:val="nil"/>
              <w:bottom w:val="single" w:sz="4" w:space="0" w:color="auto"/>
              <w:right w:val="single" w:sz="4" w:space="0" w:color="auto"/>
            </w:tcBorders>
            <w:shd w:val="clear" w:color="auto" w:fill="auto"/>
            <w:noWrap/>
            <w:vAlign w:val="center"/>
            <w:hideMark/>
          </w:tcPr>
          <w:p w14:paraId="78B4DF2D"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0.264 </w:t>
            </w:r>
          </w:p>
        </w:tc>
        <w:tc>
          <w:tcPr>
            <w:tcW w:w="1540" w:type="dxa"/>
            <w:tcBorders>
              <w:top w:val="nil"/>
              <w:left w:val="nil"/>
              <w:bottom w:val="single" w:sz="4" w:space="0" w:color="auto"/>
              <w:right w:val="single" w:sz="4" w:space="0" w:color="auto"/>
            </w:tcBorders>
            <w:shd w:val="clear" w:color="auto" w:fill="auto"/>
            <w:noWrap/>
            <w:vAlign w:val="center"/>
            <w:hideMark/>
          </w:tcPr>
          <w:p w14:paraId="4DE2AB4C"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4,474</w:t>
            </w:r>
          </w:p>
        </w:tc>
      </w:tr>
      <w:tr w:rsidR="0032335C" w:rsidRPr="00C63A39" w14:paraId="34351708"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1F4B83CC" w14:textId="6E8000BE" w:rsidR="0032335C" w:rsidRPr="00C63A39" w:rsidRDefault="0032335C" w:rsidP="0032335C">
            <w:pPr>
              <w:rPr>
                <w:kern w:val="22"/>
                <w:szCs w:val="22"/>
                <w:lang w:val="fr-FR" w:eastAsia="en-CA"/>
              </w:rPr>
            </w:pPr>
            <w:r w:rsidRPr="00C63A39">
              <w:rPr>
                <w:szCs w:val="22"/>
                <w:lang w:val="fr-FR"/>
              </w:rPr>
              <w:t>Îles Salomon</w:t>
            </w:r>
          </w:p>
        </w:tc>
        <w:tc>
          <w:tcPr>
            <w:tcW w:w="1540" w:type="dxa"/>
            <w:tcBorders>
              <w:top w:val="nil"/>
              <w:left w:val="nil"/>
              <w:bottom w:val="single" w:sz="4" w:space="0" w:color="auto"/>
              <w:right w:val="single" w:sz="4" w:space="0" w:color="auto"/>
            </w:tcBorders>
            <w:shd w:val="clear" w:color="auto" w:fill="auto"/>
            <w:vAlign w:val="center"/>
            <w:hideMark/>
          </w:tcPr>
          <w:p w14:paraId="2F0BF2EA"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7872D19F"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67E0C010"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29</w:t>
            </w:r>
          </w:p>
        </w:tc>
      </w:tr>
      <w:tr w:rsidR="0032335C" w:rsidRPr="00C63A39" w14:paraId="73953B4F"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73C152FD" w14:textId="60E1F72B" w:rsidR="0032335C" w:rsidRPr="00C63A39" w:rsidRDefault="0032335C" w:rsidP="0032335C">
            <w:pPr>
              <w:rPr>
                <w:kern w:val="22"/>
                <w:szCs w:val="22"/>
                <w:lang w:val="fr-FR" w:eastAsia="en-CA"/>
              </w:rPr>
            </w:pPr>
            <w:r w:rsidRPr="00C63A39">
              <w:rPr>
                <w:szCs w:val="22"/>
                <w:lang w:val="fr-FR"/>
              </w:rPr>
              <w:t>Afrique du Sud</w:t>
            </w:r>
          </w:p>
        </w:tc>
        <w:tc>
          <w:tcPr>
            <w:tcW w:w="1540" w:type="dxa"/>
            <w:tcBorders>
              <w:top w:val="nil"/>
              <w:left w:val="nil"/>
              <w:bottom w:val="single" w:sz="4" w:space="0" w:color="auto"/>
              <w:right w:val="single" w:sz="4" w:space="0" w:color="auto"/>
            </w:tcBorders>
            <w:shd w:val="clear" w:color="auto" w:fill="auto"/>
            <w:vAlign w:val="center"/>
            <w:hideMark/>
          </w:tcPr>
          <w:p w14:paraId="5A999FE1"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0.272 </w:t>
            </w:r>
          </w:p>
        </w:tc>
        <w:tc>
          <w:tcPr>
            <w:tcW w:w="1540" w:type="dxa"/>
            <w:tcBorders>
              <w:top w:val="nil"/>
              <w:left w:val="nil"/>
              <w:bottom w:val="single" w:sz="4" w:space="0" w:color="auto"/>
              <w:right w:val="single" w:sz="4" w:space="0" w:color="auto"/>
            </w:tcBorders>
            <w:shd w:val="clear" w:color="auto" w:fill="auto"/>
            <w:noWrap/>
            <w:vAlign w:val="center"/>
            <w:hideMark/>
          </w:tcPr>
          <w:p w14:paraId="52977133"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0.469 </w:t>
            </w:r>
          </w:p>
        </w:tc>
        <w:tc>
          <w:tcPr>
            <w:tcW w:w="1540" w:type="dxa"/>
            <w:tcBorders>
              <w:top w:val="nil"/>
              <w:left w:val="nil"/>
              <w:bottom w:val="single" w:sz="4" w:space="0" w:color="auto"/>
              <w:right w:val="single" w:sz="4" w:space="0" w:color="auto"/>
            </w:tcBorders>
            <w:shd w:val="clear" w:color="auto" w:fill="auto"/>
            <w:noWrap/>
            <w:vAlign w:val="center"/>
            <w:hideMark/>
          </w:tcPr>
          <w:p w14:paraId="16DE920A"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7,954</w:t>
            </w:r>
          </w:p>
        </w:tc>
      </w:tr>
      <w:tr w:rsidR="0032335C" w:rsidRPr="00C63A39" w14:paraId="59707294"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3F112FF3" w14:textId="7C8FC875" w:rsidR="0032335C" w:rsidRPr="00C63A39" w:rsidRDefault="0032335C" w:rsidP="0032335C">
            <w:pPr>
              <w:rPr>
                <w:kern w:val="22"/>
                <w:szCs w:val="22"/>
                <w:lang w:val="fr-FR" w:eastAsia="en-CA"/>
              </w:rPr>
            </w:pPr>
            <w:r w:rsidRPr="00C63A39">
              <w:rPr>
                <w:szCs w:val="22"/>
                <w:lang w:val="fr-FR"/>
              </w:rPr>
              <w:t>Espagne</w:t>
            </w:r>
          </w:p>
        </w:tc>
        <w:tc>
          <w:tcPr>
            <w:tcW w:w="1540" w:type="dxa"/>
            <w:tcBorders>
              <w:top w:val="nil"/>
              <w:left w:val="nil"/>
              <w:bottom w:val="single" w:sz="4" w:space="0" w:color="auto"/>
              <w:right w:val="single" w:sz="4" w:space="0" w:color="auto"/>
            </w:tcBorders>
            <w:shd w:val="clear" w:color="auto" w:fill="auto"/>
            <w:vAlign w:val="center"/>
            <w:hideMark/>
          </w:tcPr>
          <w:p w14:paraId="116946A3"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2.146 </w:t>
            </w:r>
          </w:p>
        </w:tc>
        <w:tc>
          <w:tcPr>
            <w:tcW w:w="1540" w:type="dxa"/>
            <w:tcBorders>
              <w:top w:val="nil"/>
              <w:left w:val="nil"/>
              <w:bottom w:val="single" w:sz="4" w:space="0" w:color="auto"/>
              <w:right w:val="single" w:sz="4" w:space="0" w:color="auto"/>
            </w:tcBorders>
            <w:shd w:val="clear" w:color="auto" w:fill="auto"/>
            <w:noWrap/>
            <w:vAlign w:val="center"/>
            <w:hideMark/>
          </w:tcPr>
          <w:p w14:paraId="0EC78806"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3.703 </w:t>
            </w:r>
          </w:p>
        </w:tc>
        <w:tc>
          <w:tcPr>
            <w:tcW w:w="1540" w:type="dxa"/>
            <w:tcBorders>
              <w:top w:val="nil"/>
              <w:left w:val="nil"/>
              <w:bottom w:val="single" w:sz="4" w:space="0" w:color="auto"/>
              <w:right w:val="single" w:sz="4" w:space="0" w:color="auto"/>
            </w:tcBorders>
            <w:shd w:val="clear" w:color="auto" w:fill="auto"/>
            <w:noWrap/>
            <w:vAlign w:val="center"/>
            <w:hideMark/>
          </w:tcPr>
          <w:p w14:paraId="17BA197C"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62,758</w:t>
            </w:r>
          </w:p>
        </w:tc>
      </w:tr>
      <w:tr w:rsidR="0032335C" w:rsidRPr="00C63A39" w14:paraId="3E6742A4"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49E86B03" w14:textId="28A24570" w:rsidR="0032335C" w:rsidRPr="00C63A39" w:rsidRDefault="0032335C" w:rsidP="0032335C">
            <w:pPr>
              <w:rPr>
                <w:kern w:val="22"/>
                <w:szCs w:val="22"/>
                <w:lang w:val="fr-FR" w:eastAsia="en-CA"/>
              </w:rPr>
            </w:pPr>
            <w:r w:rsidRPr="00C63A39">
              <w:rPr>
                <w:szCs w:val="22"/>
                <w:lang w:val="fr-FR"/>
              </w:rPr>
              <w:t>Soudan</w:t>
            </w:r>
          </w:p>
        </w:tc>
        <w:tc>
          <w:tcPr>
            <w:tcW w:w="1540" w:type="dxa"/>
            <w:tcBorders>
              <w:top w:val="nil"/>
              <w:left w:val="nil"/>
              <w:bottom w:val="single" w:sz="4" w:space="0" w:color="auto"/>
              <w:right w:val="single" w:sz="4" w:space="0" w:color="auto"/>
            </w:tcBorders>
            <w:shd w:val="clear" w:color="auto" w:fill="auto"/>
            <w:vAlign w:val="center"/>
            <w:hideMark/>
          </w:tcPr>
          <w:p w14:paraId="745E245C"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5AA5C832"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24FDF9DC"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170</w:t>
            </w:r>
          </w:p>
        </w:tc>
      </w:tr>
      <w:tr w:rsidR="0032335C" w:rsidRPr="00C63A39" w14:paraId="08842BA1"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1A745FA1" w14:textId="065EE0DA" w:rsidR="0032335C" w:rsidRPr="00C63A39" w:rsidRDefault="0032335C" w:rsidP="0032335C">
            <w:pPr>
              <w:rPr>
                <w:kern w:val="22"/>
                <w:szCs w:val="22"/>
                <w:lang w:val="fr-FR" w:eastAsia="en-CA"/>
              </w:rPr>
            </w:pPr>
            <w:r w:rsidRPr="00C63A39">
              <w:rPr>
                <w:szCs w:val="22"/>
                <w:lang w:val="fr-FR"/>
              </w:rPr>
              <w:t>Suède</w:t>
            </w:r>
          </w:p>
        </w:tc>
        <w:tc>
          <w:tcPr>
            <w:tcW w:w="1540" w:type="dxa"/>
            <w:tcBorders>
              <w:top w:val="nil"/>
              <w:left w:val="nil"/>
              <w:bottom w:val="single" w:sz="4" w:space="0" w:color="auto"/>
              <w:right w:val="single" w:sz="4" w:space="0" w:color="auto"/>
            </w:tcBorders>
            <w:shd w:val="clear" w:color="auto" w:fill="auto"/>
            <w:vAlign w:val="center"/>
            <w:hideMark/>
          </w:tcPr>
          <w:p w14:paraId="7D8552FD"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0.906 </w:t>
            </w:r>
          </w:p>
        </w:tc>
        <w:tc>
          <w:tcPr>
            <w:tcW w:w="1540" w:type="dxa"/>
            <w:tcBorders>
              <w:top w:val="nil"/>
              <w:left w:val="nil"/>
              <w:bottom w:val="single" w:sz="4" w:space="0" w:color="auto"/>
              <w:right w:val="single" w:sz="4" w:space="0" w:color="auto"/>
            </w:tcBorders>
            <w:shd w:val="clear" w:color="auto" w:fill="auto"/>
            <w:noWrap/>
            <w:vAlign w:val="center"/>
            <w:hideMark/>
          </w:tcPr>
          <w:p w14:paraId="7ECDBA41"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1.563 </w:t>
            </w:r>
          </w:p>
        </w:tc>
        <w:tc>
          <w:tcPr>
            <w:tcW w:w="1540" w:type="dxa"/>
            <w:tcBorders>
              <w:top w:val="nil"/>
              <w:left w:val="nil"/>
              <w:bottom w:val="single" w:sz="4" w:space="0" w:color="auto"/>
              <w:right w:val="single" w:sz="4" w:space="0" w:color="auto"/>
            </w:tcBorders>
            <w:shd w:val="clear" w:color="auto" w:fill="auto"/>
            <w:noWrap/>
            <w:vAlign w:val="center"/>
            <w:hideMark/>
          </w:tcPr>
          <w:p w14:paraId="356F43AE"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26,495</w:t>
            </w:r>
          </w:p>
        </w:tc>
      </w:tr>
      <w:tr w:rsidR="0032335C" w:rsidRPr="00C63A39" w14:paraId="3D654D8A"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518A628E" w14:textId="6536BE57" w:rsidR="0032335C" w:rsidRPr="00C63A39" w:rsidRDefault="0032335C" w:rsidP="0032335C">
            <w:pPr>
              <w:rPr>
                <w:kern w:val="22"/>
                <w:szCs w:val="22"/>
                <w:lang w:val="fr-FR" w:eastAsia="en-CA"/>
              </w:rPr>
            </w:pPr>
            <w:r w:rsidRPr="00C63A39">
              <w:rPr>
                <w:szCs w:val="22"/>
                <w:lang w:val="fr-FR"/>
              </w:rPr>
              <w:t xml:space="preserve">Suisse </w:t>
            </w:r>
          </w:p>
        </w:tc>
        <w:tc>
          <w:tcPr>
            <w:tcW w:w="1540" w:type="dxa"/>
            <w:tcBorders>
              <w:top w:val="nil"/>
              <w:left w:val="nil"/>
              <w:bottom w:val="single" w:sz="4" w:space="0" w:color="auto"/>
              <w:right w:val="single" w:sz="4" w:space="0" w:color="auto"/>
            </w:tcBorders>
            <w:shd w:val="clear" w:color="auto" w:fill="auto"/>
            <w:vAlign w:val="center"/>
            <w:hideMark/>
          </w:tcPr>
          <w:p w14:paraId="44F3BBBA"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1.151 </w:t>
            </w:r>
          </w:p>
        </w:tc>
        <w:tc>
          <w:tcPr>
            <w:tcW w:w="1540" w:type="dxa"/>
            <w:tcBorders>
              <w:top w:val="nil"/>
              <w:left w:val="nil"/>
              <w:bottom w:val="single" w:sz="4" w:space="0" w:color="auto"/>
              <w:right w:val="single" w:sz="4" w:space="0" w:color="auto"/>
            </w:tcBorders>
            <w:shd w:val="clear" w:color="auto" w:fill="auto"/>
            <w:noWrap/>
            <w:vAlign w:val="center"/>
            <w:hideMark/>
          </w:tcPr>
          <w:p w14:paraId="557595C0"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1.986 </w:t>
            </w:r>
          </w:p>
        </w:tc>
        <w:tc>
          <w:tcPr>
            <w:tcW w:w="1540" w:type="dxa"/>
            <w:tcBorders>
              <w:top w:val="nil"/>
              <w:left w:val="nil"/>
              <w:bottom w:val="single" w:sz="4" w:space="0" w:color="auto"/>
              <w:right w:val="single" w:sz="4" w:space="0" w:color="auto"/>
            </w:tcBorders>
            <w:shd w:val="clear" w:color="auto" w:fill="auto"/>
            <w:noWrap/>
            <w:vAlign w:val="center"/>
            <w:hideMark/>
          </w:tcPr>
          <w:p w14:paraId="1AFED605"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33,660</w:t>
            </w:r>
          </w:p>
        </w:tc>
      </w:tr>
      <w:tr w:rsidR="0032335C" w:rsidRPr="00C63A39" w14:paraId="0B5D06F4"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725C8B29" w14:textId="72B4724D" w:rsidR="0032335C" w:rsidRPr="00C63A39" w:rsidRDefault="0032335C" w:rsidP="0032335C">
            <w:pPr>
              <w:rPr>
                <w:kern w:val="22"/>
                <w:szCs w:val="22"/>
                <w:lang w:val="fr-FR" w:eastAsia="en-CA"/>
              </w:rPr>
            </w:pPr>
            <w:r w:rsidRPr="00C63A39">
              <w:rPr>
                <w:szCs w:val="22"/>
                <w:lang w:val="fr-FR"/>
              </w:rPr>
              <w:t>République arabe syrienne</w:t>
            </w:r>
          </w:p>
        </w:tc>
        <w:tc>
          <w:tcPr>
            <w:tcW w:w="1540" w:type="dxa"/>
            <w:tcBorders>
              <w:top w:val="nil"/>
              <w:left w:val="nil"/>
              <w:bottom w:val="single" w:sz="4" w:space="0" w:color="auto"/>
              <w:right w:val="single" w:sz="4" w:space="0" w:color="auto"/>
            </w:tcBorders>
            <w:shd w:val="clear" w:color="auto" w:fill="auto"/>
            <w:vAlign w:val="center"/>
            <w:hideMark/>
          </w:tcPr>
          <w:p w14:paraId="6353908A"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0.011 </w:t>
            </w:r>
          </w:p>
        </w:tc>
        <w:tc>
          <w:tcPr>
            <w:tcW w:w="1540" w:type="dxa"/>
            <w:tcBorders>
              <w:top w:val="nil"/>
              <w:left w:val="nil"/>
              <w:bottom w:val="single" w:sz="4" w:space="0" w:color="auto"/>
              <w:right w:val="single" w:sz="4" w:space="0" w:color="auto"/>
            </w:tcBorders>
            <w:shd w:val="clear" w:color="auto" w:fill="auto"/>
            <w:noWrap/>
            <w:vAlign w:val="center"/>
            <w:hideMark/>
          </w:tcPr>
          <w:p w14:paraId="17DCE6A9"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0.019 </w:t>
            </w:r>
          </w:p>
        </w:tc>
        <w:tc>
          <w:tcPr>
            <w:tcW w:w="1540" w:type="dxa"/>
            <w:tcBorders>
              <w:top w:val="nil"/>
              <w:left w:val="nil"/>
              <w:bottom w:val="single" w:sz="4" w:space="0" w:color="auto"/>
              <w:right w:val="single" w:sz="4" w:space="0" w:color="auto"/>
            </w:tcBorders>
            <w:shd w:val="clear" w:color="auto" w:fill="auto"/>
            <w:noWrap/>
            <w:vAlign w:val="center"/>
            <w:hideMark/>
          </w:tcPr>
          <w:p w14:paraId="1089A3C9"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322</w:t>
            </w:r>
          </w:p>
        </w:tc>
      </w:tr>
    </w:tbl>
    <w:p w14:paraId="1E922A91" w14:textId="4B3420C2" w:rsidR="00315701" w:rsidRPr="00C63A39" w:rsidRDefault="00315701" w:rsidP="000311B5">
      <w:pPr>
        <w:spacing w:after="160" w:line="259" w:lineRule="auto"/>
        <w:rPr>
          <w:b/>
          <w:bCs/>
          <w:snapToGrid w:val="0"/>
          <w:kern w:val="22"/>
          <w:szCs w:val="22"/>
          <w:lang w:val="fr-FR"/>
        </w:rPr>
      </w:pPr>
    </w:p>
    <w:p w14:paraId="29D9A066" w14:textId="77777777" w:rsidR="00315701" w:rsidRPr="00C63A39" w:rsidRDefault="00315701">
      <w:pPr>
        <w:spacing w:after="160" w:line="259" w:lineRule="auto"/>
        <w:rPr>
          <w:b/>
          <w:bCs/>
          <w:snapToGrid w:val="0"/>
          <w:kern w:val="22"/>
          <w:szCs w:val="22"/>
          <w:lang w:val="fr-FR"/>
        </w:rPr>
      </w:pPr>
      <w:r w:rsidRPr="00C63A39">
        <w:rPr>
          <w:b/>
          <w:bCs/>
          <w:snapToGrid w:val="0"/>
          <w:kern w:val="22"/>
          <w:szCs w:val="22"/>
          <w:lang w:val="fr-FR"/>
        </w:rPr>
        <w:br w:type="page"/>
      </w:r>
    </w:p>
    <w:tbl>
      <w:tblPr>
        <w:tblW w:w="9420" w:type="dxa"/>
        <w:tblLook w:val="04A0" w:firstRow="1" w:lastRow="0" w:firstColumn="1" w:lastColumn="0" w:noHBand="0" w:noVBand="1"/>
      </w:tblPr>
      <w:tblGrid>
        <w:gridCol w:w="4800"/>
        <w:gridCol w:w="1540"/>
        <w:gridCol w:w="1540"/>
        <w:gridCol w:w="1540"/>
      </w:tblGrid>
      <w:tr w:rsidR="005F7E95" w:rsidRPr="00C63A39" w14:paraId="253317D2" w14:textId="77777777" w:rsidTr="00315701">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25D2E9" w14:textId="1942A93F" w:rsidR="005F7E95" w:rsidRPr="00C63A39" w:rsidRDefault="005F7E95" w:rsidP="005F7E95">
            <w:pPr>
              <w:jc w:val="center"/>
              <w:rPr>
                <w:b/>
                <w:bCs/>
                <w:kern w:val="22"/>
                <w:szCs w:val="22"/>
                <w:lang w:val="fr-FR" w:eastAsia="en-CA"/>
              </w:rPr>
            </w:pPr>
            <w:r w:rsidRPr="00C63A39">
              <w:rPr>
                <w:b/>
                <w:bCs/>
                <w:kern w:val="22"/>
                <w:szCs w:val="22"/>
                <w:lang w:val="fr-FR" w:eastAsia="en-CA"/>
              </w:rPr>
              <w:lastRenderedPageBreak/>
              <w:t>Partie</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4218FE26" w14:textId="5E0F8CAA" w:rsidR="005F7E95" w:rsidRPr="00C63A39" w:rsidRDefault="005F7E95" w:rsidP="005F7E95">
            <w:pPr>
              <w:jc w:val="center"/>
              <w:rPr>
                <w:b/>
                <w:bCs/>
                <w:color w:val="000000"/>
                <w:kern w:val="22"/>
                <w:szCs w:val="22"/>
                <w:lang w:val="fr-FR" w:eastAsia="en-CA"/>
              </w:rPr>
            </w:pPr>
            <w:r w:rsidRPr="00C63A39">
              <w:rPr>
                <w:b/>
                <w:bCs/>
                <w:color w:val="000000"/>
                <w:kern w:val="22"/>
                <w:szCs w:val="22"/>
                <w:lang w:val="fr-FR" w:eastAsia="en-CA"/>
              </w:rPr>
              <w:t xml:space="preserve">Barème des quotes-parts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53DAD8E9" w14:textId="71C788AE" w:rsidR="005F7E95" w:rsidRPr="00C63A39" w:rsidRDefault="005F7E95" w:rsidP="005F7E95">
            <w:pPr>
              <w:jc w:val="center"/>
              <w:rPr>
                <w:b/>
                <w:bCs/>
                <w:color w:val="000000"/>
                <w:kern w:val="22"/>
                <w:szCs w:val="22"/>
                <w:lang w:val="fr-FR" w:eastAsia="en-CA"/>
              </w:rPr>
            </w:pPr>
            <w:r w:rsidRPr="00C63A39">
              <w:rPr>
                <w:b/>
                <w:bCs/>
                <w:color w:val="000000"/>
                <w:kern w:val="22"/>
                <w:szCs w:val="22"/>
                <w:lang w:val="fr-FR" w:eastAsia="en-CA"/>
              </w:rPr>
              <w:t>Barème assorti d’un plafond de 22% ; aucun PMA ne paie plus de 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0DC04C12" w14:textId="3301D413" w:rsidR="005F7E95" w:rsidRPr="00C63A39" w:rsidRDefault="005F7E95" w:rsidP="005F7E95">
            <w:pPr>
              <w:jc w:val="center"/>
              <w:rPr>
                <w:b/>
                <w:bCs/>
                <w:color w:val="000000"/>
                <w:kern w:val="22"/>
                <w:szCs w:val="22"/>
                <w:lang w:val="fr-FR" w:eastAsia="en-CA"/>
              </w:rPr>
            </w:pPr>
            <w:r w:rsidRPr="00C63A39">
              <w:rPr>
                <w:b/>
                <w:bCs/>
                <w:color w:val="000000"/>
                <w:kern w:val="22"/>
                <w:szCs w:val="22"/>
                <w:lang w:val="fr-FR" w:eastAsia="en-CA"/>
              </w:rPr>
              <w:t>Contributions au 1er janvier 2020</w:t>
            </w:r>
          </w:p>
        </w:tc>
      </w:tr>
      <w:tr w:rsidR="0032335C" w:rsidRPr="00C63A39" w14:paraId="7205D07B"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34259F7E" w14:textId="2C7F5CA4" w:rsidR="0032335C" w:rsidRPr="00C63A39" w:rsidRDefault="0032335C" w:rsidP="0032335C">
            <w:pPr>
              <w:rPr>
                <w:kern w:val="22"/>
                <w:szCs w:val="22"/>
                <w:lang w:val="fr-FR" w:eastAsia="en-CA"/>
              </w:rPr>
            </w:pPr>
            <w:r w:rsidRPr="00C63A39">
              <w:rPr>
                <w:szCs w:val="22"/>
                <w:lang w:val="fr-FR"/>
              </w:rPr>
              <w:t>Tadjikistan</w:t>
            </w:r>
          </w:p>
        </w:tc>
        <w:tc>
          <w:tcPr>
            <w:tcW w:w="1540" w:type="dxa"/>
            <w:tcBorders>
              <w:top w:val="nil"/>
              <w:left w:val="nil"/>
              <w:bottom w:val="single" w:sz="4" w:space="0" w:color="auto"/>
              <w:right w:val="single" w:sz="4" w:space="0" w:color="auto"/>
            </w:tcBorders>
            <w:shd w:val="clear" w:color="auto" w:fill="auto"/>
            <w:vAlign w:val="center"/>
            <w:hideMark/>
          </w:tcPr>
          <w:p w14:paraId="22647433"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02CA90B0"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14:paraId="301D6058"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117</w:t>
            </w:r>
          </w:p>
        </w:tc>
      </w:tr>
      <w:tr w:rsidR="0032335C" w:rsidRPr="00C63A39" w14:paraId="1D65ADD4"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641BFE96" w14:textId="1DACB3A1" w:rsidR="0032335C" w:rsidRPr="00C63A39" w:rsidRDefault="0032335C" w:rsidP="0032335C">
            <w:pPr>
              <w:rPr>
                <w:kern w:val="22"/>
                <w:szCs w:val="22"/>
                <w:lang w:val="fr-FR" w:eastAsia="en-CA"/>
              </w:rPr>
            </w:pPr>
            <w:r w:rsidRPr="00C63A39">
              <w:rPr>
                <w:szCs w:val="22"/>
                <w:lang w:val="fr-FR"/>
              </w:rPr>
              <w:t>Togo</w:t>
            </w:r>
          </w:p>
        </w:tc>
        <w:tc>
          <w:tcPr>
            <w:tcW w:w="1540" w:type="dxa"/>
            <w:tcBorders>
              <w:top w:val="nil"/>
              <w:left w:val="nil"/>
              <w:bottom w:val="single" w:sz="4" w:space="0" w:color="auto"/>
              <w:right w:val="single" w:sz="4" w:space="0" w:color="auto"/>
            </w:tcBorders>
            <w:shd w:val="clear" w:color="auto" w:fill="auto"/>
            <w:vAlign w:val="center"/>
            <w:hideMark/>
          </w:tcPr>
          <w:p w14:paraId="21029CBB"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7C437C69"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4408B71D"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58</w:t>
            </w:r>
          </w:p>
        </w:tc>
      </w:tr>
      <w:tr w:rsidR="0032335C" w:rsidRPr="00C63A39" w14:paraId="29758852"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60CA4CC5" w14:textId="4867AA1E" w:rsidR="0032335C" w:rsidRPr="00C63A39" w:rsidRDefault="0032335C" w:rsidP="0032335C">
            <w:pPr>
              <w:rPr>
                <w:kern w:val="22"/>
                <w:szCs w:val="22"/>
                <w:lang w:val="fr-FR" w:eastAsia="en-CA"/>
              </w:rPr>
            </w:pPr>
            <w:r w:rsidRPr="00C63A39">
              <w:rPr>
                <w:szCs w:val="22"/>
                <w:lang w:val="fr-FR"/>
              </w:rPr>
              <w:t>Tonga</w:t>
            </w:r>
          </w:p>
        </w:tc>
        <w:tc>
          <w:tcPr>
            <w:tcW w:w="1540" w:type="dxa"/>
            <w:tcBorders>
              <w:top w:val="nil"/>
              <w:left w:val="nil"/>
              <w:bottom w:val="single" w:sz="4" w:space="0" w:color="auto"/>
              <w:right w:val="single" w:sz="4" w:space="0" w:color="auto"/>
            </w:tcBorders>
            <w:shd w:val="clear" w:color="auto" w:fill="auto"/>
            <w:vAlign w:val="center"/>
            <w:hideMark/>
          </w:tcPr>
          <w:p w14:paraId="4BF00898"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52867FB1"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0CDD864A"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29</w:t>
            </w:r>
          </w:p>
        </w:tc>
      </w:tr>
      <w:tr w:rsidR="0032335C" w:rsidRPr="00C63A39" w14:paraId="6B207D1E"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1CFB778D" w14:textId="3CD3E62B" w:rsidR="0032335C" w:rsidRPr="00C63A39" w:rsidRDefault="0032335C" w:rsidP="0032335C">
            <w:pPr>
              <w:rPr>
                <w:kern w:val="22"/>
                <w:szCs w:val="22"/>
                <w:lang w:val="fr-FR" w:eastAsia="en-CA"/>
              </w:rPr>
            </w:pPr>
            <w:r w:rsidRPr="00C63A39">
              <w:rPr>
                <w:szCs w:val="22"/>
                <w:lang w:val="fr-FR"/>
              </w:rPr>
              <w:t>Tuvalu</w:t>
            </w:r>
          </w:p>
        </w:tc>
        <w:tc>
          <w:tcPr>
            <w:tcW w:w="1540" w:type="dxa"/>
            <w:tcBorders>
              <w:top w:val="nil"/>
              <w:left w:val="nil"/>
              <w:bottom w:val="single" w:sz="4" w:space="0" w:color="auto"/>
              <w:right w:val="single" w:sz="4" w:space="0" w:color="auto"/>
            </w:tcBorders>
            <w:shd w:val="clear" w:color="auto" w:fill="auto"/>
            <w:vAlign w:val="center"/>
            <w:hideMark/>
          </w:tcPr>
          <w:p w14:paraId="762613D1"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2DD33096"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19FBC77B"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29</w:t>
            </w:r>
          </w:p>
        </w:tc>
      </w:tr>
      <w:tr w:rsidR="0032335C" w:rsidRPr="00C63A39" w14:paraId="35CB1B3D"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586CD405" w14:textId="18E992A4" w:rsidR="0032335C" w:rsidRPr="00C63A39" w:rsidRDefault="0032335C" w:rsidP="0032335C">
            <w:pPr>
              <w:rPr>
                <w:kern w:val="22"/>
                <w:szCs w:val="22"/>
                <w:lang w:val="fr-FR" w:eastAsia="en-CA"/>
              </w:rPr>
            </w:pPr>
            <w:r w:rsidRPr="00C63A39">
              <w:rPr>
                <w:szCs w:val="22"/>
                <w:lang w:val="fr-FR"/>
              </w:rPr>
              <w:t>Ouganda</w:t>
            </w:r>
          </w:p>
        </w:tc>
        <w:tc>
          <w:tcPr>
            <w:tcW w:w="1540" w:type="dxa"/>
            <w:tcBorders>
              <w:top w:val="nil"/>
              <w:left w:val="nil"/>
              <w:bottom w:val="single" w:sz="4" w:space="0" w:color="auto"/>
              <w:right w:val="single" w:sz="4" w:space="0" w:color="auto"/>
            </w:tcBorders>
            <w:shd w:val="clear" w:color="auto" w:fill="auto"/>
            <w:vAlign w:val="center"/>
            <w:hideMark/>
          </w:tcPr>
          <w:p w14:paraId="620EA1DA"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0.008 </w:t>
            </w:r>
          </w:p>
        </w:tc>
        <w:tc>
          <w:tcPr>
            <w:tcW w:w="1540" w:type="dxa"/>
            <w:tcBorders>
              <w:top w:val="nil"/>
              <w:left w:val="nil"/>
              <w:bottom w:val="single" w:sz="4" w:space="0" w:color="auto"/>
              <w:right w:val="single" w:sz="4" w:space="0" w:color="auto"/>
            </w:tcBorders>
            <w:shd w:val="clear" w:color="auto" w:fill="auto"/>
            <w:noWrap/>
            <w:vAlign w:val="center"/>
            <w:hideMark/>
          </w:tcPr>
          <w:p w14:paraId="66640075"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257287A9"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170</w:t>
            </w:r>
          </w:p>
        </w:tc>
      </w:tr>
      <w:tr w:rsidR="0032335C" w:rsidRPr="00C63A39" w14:paraId="69FBEFC2"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4BE0B984" w14:textId="6F3A2D48" w:rsidR="0032335C" w:rsidRPr="00C63A39" w:rsidRDefault="0032335C" w:rsidP="0032335C">
            <w:pPr>
              <w:rPr>
                <w:kern w:val="22"/>
                <w:szCs w:val="22"/>
                <w:lang w:val="fr-FR" w:eastAsia="en-CA"/>
              </w:rPr>
            </w:pPr>
            <w:r w:rsidRPr="00C63A39">
              <w:rPr>
                <w:szCs w:val="22"/>
                <w:lang w:val="fr-FR"/>
              </w:rPr>
              <w:t>Émirats arabes unis</w:t>
            </w:r>
          </w:p>
        </w:tc>
        <w:tc>
          <w:tcPr>
            <w:tcW w:w="1540" w:type="dxa"/>
            <w:tcBorders>
              <w:top w:val="nil"/>
              <w:left w:val="nil"/>
              <w:bottom w:val="single" w:sz="4" w:space="0" w:color="auto"/>
              <w:right w:val="single" w:sz="4" w:space="0" w:color="auto"/>
            </w:tcBorders>
            <w:shd w:val="clear" w:color="auto" w:fill="auto"/>
            <w:vAlign w:val="center"/>
            <w:hideMark/>
          </w:tcPr>
          <w:p w14:paraId="0739EC4D"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0.616 </w:t>
            </w:r>
          </w:p>
        </w:tc>
        <w:tc>
          <w:tcPr>
            <w:tcW w:w="1540" w:type="dxa"/>
            <w:tcBorders>
              <w:top w:val="nil"/>
              <w:left w:val="nil"/>
              <w:bottom w:val="single" w:sz="4" w:space="0" w:color="auto"/>
              <w:right w:val="single" w:sz="4" w:space="0" w:color="auto"/>
            </w:tcBorders>
            <w:shd w:val="clear" w:color="auto" w:fill="auto"/>
            <w:noWrap/>
            <w:vAlign w:val="center"/>
            <w:hideMark/>
          </w:tcPr>
          <w:p w14:paraId="542AF64D"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1.063 </w:t>
            </w:r>
          </w:p>
        </w:tc>
        <w:tc>
          <w:tcPr>
            <w:tcW w:w="1540" w:type="dxa"/>
            <w:tcBorders>
              <w:top w:val="nil"/>
              <w:left w:val="nil"/>
              <w:bottom w:val="single" w:sz="4" w:space="0" w:color="auto"/>
              <w:right w:val="single" w:sz="4" w:space="0" w:color="auto"/>
            </w:tcBorders>
            <w:shd w:val="clear" w:color="auto" w:fill="auto"/>
            <w:noWrap/>
            <w:vAlign w:val="center"/>
            <w:hideMark/>
          </w:tcPr>
          <w:p w14:paraId="0F37C7E2"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18,014</w:t>
            </w:r>
          </w:p>
        </w:tc>
      </w:tr>
      <w:tr w:rsidR="0032335C" w:rsidRPr="00C63A39" w14:paraId="5A168E48"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0129CA56" w14:textId="51882172" w:rsidR="0032335C" w:rsidRPr="00C63A39" w:rsidRDefault="0032335C" w:rsidP="0032335C">
            <w:pPr>
              <w:rPr>
                <w:kern w:val="22"/>
                <w:szCs w:val="22"/>
                <w:lang w:val="fr-FR" w:eastAsia="en-CA"/>
              </w:rPr>
            </w:pPr>
            <w:r w:rsidRPr="00C63A39">
              <w:rPr>
                <w:szCs w:val="22"/>
                <w:lang w:val="fr-FR"/>
              </w:rPr>
              <w:t>Royaume-Uni de Grande-Bretagne et d'Irlande du Nord</w:t>
            </w:r>
          </w:p>
        </w:tc>
        <w:tc>
          <w:tcPr>
            <w:tcW w:w="1540" w:type="dxa"/>
            <w:tcBorders>
              <w:top w:val="nil"/>
              <w:left w:val="nil"/>
              <w:bottom w:val="single" w:sz="4" w:space="0" w:color="auto"/>
              <w:right w:val="single" w:sz="4" w:space="0" w:color="auto"/>
            </w:tcBorders>
            <w:shd w:val="clear" w:color="auto" w:fill="auto"/>
            <w:vAlign w:val="center"/>
            <w:hideMark/>
          </w:tcPr>
          <w:p w14:paraId="3B43E516"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4.567 </w:t>
            </w:r>
          </w:p>
        </w:tc>
        <w:tc>
          <w:tcPr>
            <w:tcW w:w="1540" w:type="dxa"/>
            <w:tcBorders>
              <w:top w:val="nil"/>
              <w:left w:val="nil"/>
              <w:bottom w:val="single" w:sz="4" w:space="0" w:color="auto"/>
              <w:right w:val="single" w:sz="4" w:space="0" w:color="auto"/>
            </w:tcBorders>
            <w:shd w:val="clear" w:color="auto" w:fill="auto"/>
            <w:noWrap/>
            <w:vAlign w:val="center"/>
            <w:hideMark/>
          </w:tcPr>
          <w:p w14:paraId="36B85E67"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7.880 </w:t>
            </w:r>
          </w:p>
        </w:tc>
        <w:tc>
          <w:tcPr>
            <w:tcW w:w="1540" w:type="dxa"/>
            <w:tcBorders>
              <w:top w:val="nil"/>
              <w:left w:val="nil"/>
              <w:bottom w:val="single" w:sz="4" w:space="0" w:color="auto"/>
              <w:right w:val="single" w:sz="4" w:space="0" w:color="auto"/>
            </w:tcBorders>
            <w:shd w:val="clear" w:color="auto" w:fill="auto"/>
            <w:noWrap/>
            <w:vAlign w:val="center"/>
            <w:hideMark/>
          </w:tcPr>
          <w:p w14:paraId="5A0A5974"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133,565</w:t>
            </w:r>
          </w:p>
        </w:tc>
      </w:tr>
      <w:tr w:rsidR="0032335C" w:rsidRPr="00C63A39" w14:paraId="6DF118BE"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2E5D4383" w14:textId="0CE8462C" w:rsidR="0032335C" w:rsidRPr="00C63A39" w:rsidRDefault="0032335C" w:rsidP="0032335C">
            <w:pPr>
              <w:rPr>
                <w:kern w:val="22"/>
                <w:szCs w:val="22"/>
                <w:lang w:val="fr-FR" w:eastAsia="en-CA"/>
              </w:rPr>
            </w:pPr>
            <w:r w:rsidRPr="00C63A39">
              <w:rPr>
                <w:szCs w:val="22"/>
                <w:lang w:val="fr-FR"/>
              </w:rPr>
              <w:t>République-Unie de Tanzanie</w:t>
            </w:r>
          </w:p>
        </w:tc>
        <w:tc>
          <w:tcPr>
            <w:tcW w:w="1540" w:type="dxa"/>
            <w:tcBorders>
              <w:top w:val="nil"/>
              <w:left w:val="nil"/>
              <w:bottom w:val="single" w:sz="4" w:space="0" w:color="auto"/>
              <w:right w:val="single" w:sz="4" w:space="0" w:color="auto"/>
            </w:tcBorders>
            <w:shd w:val="clear" w:color="auto" w:fill="auto"/>
            <w:vAlign w:val="center"/>
            <w:hideMark/>
          </w:tcPr>
          <w:p w14:paraId="4AF3CCE2"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0607E135"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77575F54"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170</w:t>
            </w:r>
          </w:p>
        </w:tc>
      </w:tr>
      <w:tr w:rsidR="0032335C" w:rsidRPr="00C63A39" w14:paraId="4AE07D81"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554F1B59" w14:textId="273B6AF0" w:rsidR="0032335C" w:rsidRPr="00C63A39" w:rsidRDefault="0032335C" w:rsidP="0032335C">
            <w:pPr>
              <w:rPr>
                <w:kern w:val="22"/>
                <w:szCs w:val="22"/>
                <w:lang w:val="fr-FR" w:eastAsia="en-CA"/>
              </w:rPr>
            </w:pPr>
            <w:r w:rsidRPr="00C63A39">
              <w:rPr>
                <w:szCs w:val="22"/>
                <w:lang w:val="fr-FR"/>
              </w:rPr>
              <w:t>Uruguay</w:t>
            </w:r>
          </w:p>
        </w:tc>
        <w:tc>
          <w:tcPr>
            <w:tcW w:w="1540" w:type="dxa"/>
            <w:tcBorders>
              <w:top w:val="nil"/>
              <w:left w:val="nil"/>
              <w:bottom w:val="single" w:sz="4" w:space="0" w:color="auto"/>
              <w:right w:val="single" w:sz="4" w:space="0" w:color="auto"/>
            </w:tcBorders>
            <w:shd w:val="clear" w:color="auto" w:fill="auto"/>
            <w:vAlign w:val="center"/>
            <w:hideMark/>
          </w:tcPr>
          <w:p w14:paraId="56D8F594"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0.087 </w:t>
            </w:r>
          </w:p>
        </w:tc>
        <w:tc>
          <w:tcPr>
            <w:tcW w:w="1540" w:type="dxa"/>
            <w:tcBorders>
              <w:top w:val="nil"/>
              <w:left w:val="nil"/>
              <w:bottom w:val="single" w:sz="4" w:space="0" w:color="auto"/>
              <w:right w:val="single" w:sz="4" w:space="0" w:color="auto"/>
            </w:tcBorders>
            <w:shd w:val="clear" w:color="auto" w:fill="auto"/>
            <w:noWrap/>
            <w:vAlign w:val="center"/>
            <w:hideMark/>
          </w:tcPr>
          <w:p w14:paraId="5C521D35"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0.150 </w:t>
            </w:r>
          </w:p>
        </w:tc>
        <w:tc>
          <w:tcPr>
            <w:tcW w:w="1540" w:type="dxa"/>
            <w:tcBorders>
              <w:top w:val="nil"/>
              <w:left w:val="nil"/>
              <w:bottom w:val="single" w:sz="4" w:space="0" w:color="auto"/>
              <w:right w:val="single" w:sz="4" w:space="0" w:color="auto"/>
            </w:tcBorders>
            <w:shd w:val="clear" w:color="auto" w:fill="auto"/>
            <w:noWrap/>
            <w:vAlign w:val="center"/>
            <w:hideMark/>
          </w:tcPr>
          <w:p w14:paraId="5537706A"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2,544</w:t>
            </w:r>
          </w:p>
        </w:tc>
      </w:tr>
      <w:tr w:rsidR="0032335C" w:rsidRPr="00C63A39" w14:paraId="7FA978F8"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213BA664" w14:textId="7700BB87" w:rsidR="0032335C" w:rsidRPr="00C63A39" w:rsidRDefault="0032335C" w:rsidP="0032335C">
            <w:pPr>
              <w:rPr>
                <w:kern w:val="22"/>
                <w:szCs w:val="22"/>
                <w:lang w:val="fr-FR" w:eastAsia="en-CA"/>
              </w:rPr>
            </w:pPr>
            <w:r w:rsidRPr="00C63A39">
              <w:rPr>
                <w:szCs w:val="22"/>
                <w:lang w:val="fr-FR"/>
              </w:rPr>
              <w:t>Vanuatu</w:t>
            </w:r>
          </w:p>
        </w:tc>
        <w:tc>
          <w:tcPr>
            <w:tcW w:w="1540" w:type="dxa"/>
            <w:tcBorders>
              <w:top w:val="nil"/>
              <w:left w:val="nil"/>
              <w:bottom w:val="single" w:sz="4" w:space="0" w:color="auto"/>
              <w:right w:val="single" w:sz="4" w:space="0" w:color="auto"/>
            </w:tcBorders>
            <w:shd w:val="clear" w:color="auto" w:fill="auto"/>
            <w:vAlign w:val="center"/>
            <w:hideMark/>
          </w:tcPr>
          <w:p w14:paraId="086B0CB8"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0DD39FC6"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0AA539DD"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29</w:t>
            </w:r>
          </w:p>
        </w:tc>
      </w:tr>
      <w:tr w:rsidR="0032335C" w:rsidRPr="00C63A39" w14:paraId="24E77528"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2392D04F" w14:textId="6427BDA6" w:rsidR="0032335C" w:rsidRPr="00C63A39" w:rsidRDefault="0032335C" w:rsidP="0032335C">
            <w:pPr>
              <w:rPr>
                <w:kern w:val="22"/>
                <w:szCs w:val="22"/>
                <w:lang w:val="fr-FR" w:eastAsia="en-CA"/>
              </w:rPr>
            </w:pPr>
            <w:r w:rsidRPr="00C63A39">
              <w:rPr>
                <w:szCs w:val="22"/>
                <w:lang w:val="fr-FR"/>
              </w:rPr>
              <w:t>Venezuela</w:t>
            </w:r>
          </w:p>
        </w:tc>
        <w:tc>
          <w:tcPr>
            <w:tcW w:w="1540" w:type="dxa"/>
            <w:tcBorders>
              <w:top w:val="nil"/>
              <w:left w:val="nil"/>
              <w:bottom w:val="single" w:sz="4" w:space="0" w:color="auto"/>
              <w:right w:val="single" w:sz="4" w:space="0" w:color="auto"/>
            </w:tcBorders>
            <w:shd w:val="clear" w:color="auto" w:fill="auto"/>
            <w:vAlign w:val="center"/>
            <w:hideMark/>
          </w:tcPr>
          <w:p w14:paraId="524E373F"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0.728 </w:t>
            </w:r>
          </w:p>
        </w:tc>
        <w:tc>
          <w:tcPr>
            <w:tcW w:w="1540" w:type="dxa"/>
            <w:tcBorders>
              <w:top w:val="nil"/>
              <w:left w:val="nil"/>
              <w:bottom w:val="single" w:sz="4" w:space="0" w:color="auto"/>
              <w:right w:val="single" w:sz="4" w:space="0" w:color="auto"/>
            </w:tcBorders>
            <w:shd w:val="clear" w:color="auto" w:fill="auto"/>
            <w:noWrap/>
            <w:vAlign w:val="center"/>
            <w:hideMark/>
          </w:tcPr>
          <w:p w14:paraId="1DAA4FD8"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1.256 </w:t>
            </w:r>
          </w:p>
        </w:tc>
        <w:tc>
          <w:tcPr>
            <w:tcW w:w="1540" w:type="dxa"/>
            <w:tcBorders>
              <w:top w:val="nil"/>
              <w:left w:val="nil"/>
              <w:bottom w:val="single" w:sz="4" w:space="0" w:color="auto"/>
              <w:right w:val="single" w:sz="4" w:space="0" w:color="auto"/>
            </w:tcBorders>
            <w:shd w:val="clear" w:color="auto" w:fill="auto"/>
            <w:noWrap/>
            <w:vAlign w:val="center"/>
            <w:hideMark/>
          </w:tcPr>
          <w:p w14:paraId="29C5D0C9"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21,290</w:t>
            </w:r>
          </w:p>
        </w:tc>
      </w:tr>
      <w:tr w:rsidR="0032335C" w:rsidRPr="00C63A39" w14:paraId="10B07C49"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5E86339B" w14:textId="10417B8B" w:rsidR="0032335C" w:rsidRPr="00C63A39" w:rsidRDefault="0032335C" w:rsidP="0032335C">
            <w:pPr>
              <w:rPr>
                <w:kern w:val="22"/>
                <w:szCs w:val="22"/>
                <w:lang w:val="fr-FR" w:eastAsia="en-CA"/>
              </w:rPr>
            </w:pPr>
            <w:r w:rsidRPr="00C63A39">
              <w:rPr>
                <w:szCs w:val="22"/>
                <w:lang w:val="fr-FR"/>
              </w:rPr>
              <w:t>Le Viêt Nam</w:t>
            </w:r>
          </w:p>
        </w:tc>
        <w:tc>
          <w:tcPr>
            <w:tcW w:w="1540" w:type="dxa"/>
            <w:tcBorders>
              <w:top w:val="nil"/>
              <w:left w:val="nil"/>
              <w:bottom w:val="single" w:sz="4" w:space="0" w:color="auto"/>
              <w:right w:val="single" w:sz="4" w:space="0" w:color="auto"/>
            </w:tcBorders>
            <w:shd w:val="clear" w:color="auto" w:fill="auto"/>
            <w:vAlign w:val="center"/>
            <w:hideMark/>
          </w:tcPr>
          <w:p w14:paraId="5D76A45D"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0.077 </w:t>
            </w:r>
          </w:p>
        </w:tc>
        <w:tc>
          <w:tcPr>
            <w:tcW w:w="1540" w:type="dxa"/>
            <w:tcBorders>
              <w:top w:val="nil"/>
              <w:left w:val="nil"/>
              <w:bottom w:val="single" w:sz="4" w:space="0" w:color="auto"/>
              <w:right w:val="single" w:sz="4" w:space="0" w:color="auto"/>
            </w:tcBorders>
            <w:shd w:val="clear" w:color="auto" w:fill="auto"/>
            <w:noWrap/>
            <w:vAlign w:val="center"/>
            <w:hideMark/>
          </w:tcPr>
          <w:p w14:paraId="2B8C6292"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0.133 </w:t>
            </w:r>
          </w:p>
        </w:tc>
        <w:tc>
          <w:tcPr>
            <w:tcW w:w="1540" w:type="dxa"/>
            <w:tcBorders>
              <w:top w:val="nil"/>
              <w:left w:val="nil"/>
              <w:bottom w:val="single" w:sz="4" w:space="0" w:color="auto"/>
              <w:right w:val="single" w:sz="4" w:space="0" w:color="auto"/>
            </w:tcBorders>
            <w:shd w:val="clear" w:color="auto" w:fill="auto"/>
            <w:noWrap/>
            <w:vAlign w:val="center"/>
            <w:hideMark/>
          </w:tcPr>
          <w:p w14:paraId="43AE4C43"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2,252</w:t>
            </w:r>
          </w:p>
        </w:tc>
      </w:tr>
      <w:tr w:rsidR="0032335C" w:rsidRPr="00C63A39" w14:paraId="0762D076"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5D9CBD1B" w14:textId="53F599D9" w:rsidR="0032335C" w:rsidRPr="00C63A39" w:rsidRDefault="0032335C" w:rsidP="0032335C">
            <w:pPr>
              <w:rPr>
                <w:kern w:val="22"/>
                <w:szCs w:val="22"/>
                <w:lang w:val="fr-FR" w:eastAsia="en-CA"/>
              </w:rPr>
            </w:pPr>
            <w:r w:rsidRPr="00C63A39">
              <w:rPr>
                <w:szCs w:val="22"/>
                <w:lang w:val="fr-FR"/>
              </w:rPr>
              <w:t>Zambie</w:t>
            </w:r>
          </w:p>
        </w:tc>
        <w:tc>
          <w:tcPr>
            <w:tcW w:w="1540" w:type="dxa"/>
            <w:tcBorders>
              <w:top w:val="nil"/>
              <w:left w:val="nil"/>
              <w:bottom w:val="single" w:sz="4" w:space="0" w:color="auto"/>
              <w:right w:val="single" w:sz="4" w:space="0" w:color="auto"/>
            </w:tcBorders>
            <w:shd w:val="clear" w:color="auto" w:fill="auto"/>
            <w:vAlign w:val="center"/>
            <w:hideMark/>
          </w:tcPr>
          <w:p w14:paraId="610FA4AD"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14:paraId="302D61F5"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0.016 </w:t>
            </w:r>
          </w:p>
        </w:tc>
        <w:tc>
          <w:tcPr>
            <w:tcW w:w="1540" w:type="dxa"/>
            <w:tcBorders>
              <w:top w:val="nil"/>
              <w:left w:val="nil"/>
              <w:bottom w:val="single" w:sz="4" w:space="0" w:color="auto"/>
              <w:right w:val="single" w:sz="4" w:space="0" w:color="auto"/>
            </w:tcBorders>
            <w:shd w:val="clear" w:color="auto" w:fill="auto"/>
            <w:noWrap/>
            <w:vAlign w:val="center"/>
            <w:hideMark/>
          </w:tcPr>
          <w:p w14:paraId="5813B710"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263</w:t>
            </w:r>
          </w:p>
        </w:tc>
      </w:tr>
      <w:tr w:rsidR="0032335C" w:rsidRPr="00C63A39" w14:paraId="45957362"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74E3E4B4" w14:textId="1C79927C" w:rsidR="0032335C" w:rsidRPr="00C63A39" w:rsidRDefault="0032335C" w:rsidP="0032335C">
            <w:pPr>
              <w:rPr>
                <w:kern w:val="22"/>
                <w:szCs w:val="22"/>
                <w:lang w:val="fr-FR" w:eastAsia="en-CA"/>
              </w:rPr>
            </w:pPr>
            <w:r w:rsidRPr="00C63A39">
              <w:rPr>
                <w:szCs w:val="22"/>
                <w:lang w:val="fr-FR"/>
              </w:rPr>
              <w:t>Zimbabwe</w:t>
            </w:r>
          </w:p>
        </w:tc>
        <w:tc>
          <w:tcPr>
            <w:tcW w:w="1540" w:type="dxa"/>
            <w:tcBorders>
              <w:top w:val="nil"/>
              <w:left w:val="nil"/>
              <w:bottom w:val="single" w:sz="4" w:space="0" w:color="auto"/>
              <w:right w:val="single" w:sz="4" w:space="0" w:color="auto"/>
            </w:tcBorders>
            <w:shd w:val="clear" w:color="auto" w:fill="auto"/>
            <w:vAlign w:val="center"/>
            <w:hideMark/>
          </w:tcPr>
          <w:p w14:paraId="65C9C32D"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14:paraId="085183DF"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14:paraId="3A3CB26B" w14:textId="77777777" w:rsidR="0032335C" w:rsidRPr="00C63A39" w:rsidRDefault="0032335C" w:rsidP="0032335C">
            <w:pPr>
              <w:jc w:val="right"/>
              <w:rPr>
                <w:color w:val="000000"/>
                <w:kern w:val="22"/>
                <w:szCs w:val="22"/>
                <w:lang w:val="fr-FR" w:eastAsia="en-CA"/>
              </w:rPr>
            </w:pPr>
            <w:r w:rsidRPr="00C63A39">
              <w:rPr>
                <w:color w:val="000000"/>
                <w:kern w:val="22"/>
                <w:szCs w:val="22"/>
                <w:lang w:val="fr-FR" w:eastAsia="en-CA"/>
              </w:rPr>
              <w:t>146</w:t>
            </w:r>
          </w:p>
        </w:tc>
      </w:tr>
      <w:tr w:rsidR="0032335C" w:rsidRPr="00C63A39" w14:paraId="5ED48B1E" w14:textId="77777777" w:rsidTr="0071175F">
        <w:trPr>
          <w:trHeight w:val="300"/>
        </w:trPr>
        <w:tc>
          <w:tcPr>
            <w:tcW w:w="4800" w:type="dxa"/>
            <w:tcBorders>
              <w:top w:val="nil"/>
              <w:left w:val="single" w:sz="4" w:space="0" w:color="auto"/>
              <w:bottom w:val="single" w:sz="4" w:space="0" w:color="auto"/>
              <w:right w:val="single" w:sz="4" w:space="0" w:color="auto"/>
            </w:tcBorders>
            <w:shd w:val="clear" w:color="auto" w:fill="auto"/>
            <w:noWrap/>
            <w:hideMark/>
          </w:tcPr>
          <w:p w14:paraId="11785F81" w14:textId="271211D5" w:rsidR="0032335C" w:rsidRPr="00B90371" w:rsidRDefault="0032335C" w:rsidP="0032335C">
            <w:pPr>
              <w:rPr>
                <w:b/>
                <w:bCs/>
                <w:color w:val="000000"/>
                <w:kern w:val="22"/>
                <w:szCs w:val="22"/>
                <w:lang w:val="fr-FR" w:eastAsia="en-CA"/>
              </w:rPr>
            </w:pPr>
            <w:r w:rsidRPr="00B90371">
              <w:rPr>
                <w:b/>
                <w:bCs/>
                <w:szCs w:val="22"/>
                <w:lang w:val="fr-FR"/>
              </w:rPr>
              <w:t>Total</w:t>
            </w:r>
          </w:p>
        </w:tc>
        <w:tc>
          <w:tcPr>
            <w:tcW w:w="1540" w:type="dxa"/>
            <w:tcBorders>
              <w:top w:val="nil"/>
              <w:left w:val="nil"/>
              <w:bottom w:val="single" w:sz="4" w:space="0" w:color="auto"/>
              <w:right w:val="single" w:sz="4" w:space="0" w:color="auto"/>
            </w:tcBorders>
            <w:shd w:val="clear" w:color="auto" w:fill="auto"/>
            <w:vAlign w:val="center"/>
            <w:hideMark/>
          </w:tcPr>
          <w:p w14:paraId="51F496BA" w14:textId="77777777" w:rsidR="0032335C" w:rsidRPr="00C63A39" w:rsidRDefault="0032335C" w:rsidP="0032335C">
            <w:pPr>
              <w:jc w:val="right"/>
              <w:rPr>
                <w:b/>
                <w:bCs/>
                <w:color w:val="000000"/>
                <w:kern w:val="22"/>
                <w:szCs w:val="22"/>
                <w:lang w:val="fr-FR" w:eastAsia="en-CA"/>
              </w:rPr>
            </w:pPr>
            <w:r w:rsidRPr="00C63A39">
              <w:rPr>
                <w:b/>
                <w:bCs/>
                <w:color w:val="000000"/>
                <w:kern w:val="22"/>
                <w:szCs w:val="22"/>
                <w:lang w:val="fr-FR" w:eastAsia="en-CA"/>
              </w:rPr>
              <w:t xml:space="preserve">56.540 </w:t>
            </w:r>
          </w:p>
        </w:tc>
        <w:tc>
          <w:tcPr>
            <w:tcW w:w="1540" w:type="dxa"/>
            <w:tcBorders>
              <w:top w:val="nil"/>
              <w:left w:val="nil"/>
              <w:bottom w:val="single" w:sz="4" w:space="0" w:color="auto"/>
              <w:right w:val="single" w:sz="4" w:space="0" w:color="auto"/>
            </w:tcBorders>
            <w:shd w:val="clear" w:color="auto" w:fill="auto"/>
            <w:noWrap/>
            <w:vAlign w:val="center"/>
            <w:hideMark/>
          </w:tcPr>
          <w:p w14:paraId="2F47469F" w14:textId="77777777" w:rsidR="0032335C" w:rsidRPr="00C63A39" w:rsidRDefault="0032335C" w:rsidP="0032335C">
            <w:pPr>
              <w:jc w:val="right"/>
              <w:rPr>
                <w:b/>
                <w:bCs/>
                <w:color w:val="000000"/>
                <w:kern w:val="22"/>
                <w:szCs w:val="22"/>
                <w:lang w:val="fr-FR" w:eastAsia="en-CA"/>
              </w:rPr>
            </w:pPr>
            <w:r w:rsidRPr="00C63A39">
              <w:rPr>
                <w:b/>
                <w:bCs/>
                <w:color w:val="000000"/>
                <w:kern w:val="22"/>
                <w:szCs w:val="22"/>
                <w:lang w:val="fr-FR" w:eastAsia="en-CA"/>
              </w:rPr>
              <w:t xml:space="preserve">100.000 </w:t>
            </w:r>
          </w:p>
        </w:tc>
        <w:tc>
          <w:tcPr>
            <w:tcW w:w="1540" w:type="dxa"/>
            <w:tcBorders>
              <w:top w:val="nil"/>
              <w:left w:val="nil"/>
              <w:bottom w:val="single" w:sz="4" w:space="0" w:color="auto"/>
              <w:right w:val="single" w:sz="4" w:space="0" w:color="auto"/>
            </w:tcBorders>
            <w:shd w:val="clear" w:color="auto" w:fill="auto"/>
            <w:noWrap/>
            <w:vAlign w:val="center"/>
            <w:hideMark/>
          </w:tcPr>
          <w:p w14:paraId="5C6D0E90" w14:textId="77777777" w:rsidR="0032335C" w:rsidRPr="00C63A39" w:rsidRDefault="0032335C" w:rsidP="0032335C">
            <w:pPr>
              <w:jc w:val="right"/>
              <w:rPr>
                <w:b/>
                <w:bCs/>
                <w:color w:val="000000"/>
                <w:kern w:val="22"/>
                <w:szCs w:val="22"/>
                <w:lang w:val="fr-FR" w:eastAsia="en-CA"/>
              </w:rPr>
            </w:pPr>
            <w:r w:rsidRPr="00C63A39">
              <w:rPr>
                <w:b/>
                <w:bCs/>
                <w:color w:val="000000"/>
                <w:kern w:val="22"/>
                <w:szCs w:val="22"/>
                <w:lang w:val="fr-FR" w:eastAsia="en-CA"/>
              </w:rPr>
              <w:t>1,695,000</w:t>
            </w:r>
          </w:p>
        </w:tc>
      </w:tr>
    </w:tbl>
    <w:p w14:paraId="4E58A930" w14:textId="77777777" w:rsidR="00B90371" w:rsidRDefault="00BE58BB" w:rsidP="000322A9">
      <w:pPr>
        <w:spacing w:after="160" w:line="259" w:lineRule="auto"/>
        <w:jc w:val="center"/>
        <w:rPr>
          <w:b/>
          <w:bCs/>
          <w:snapToGrid w:val="0"/>
          <w:kern w:val="22"/>
          <w:szCs w:val="22"/>
          <w:lang w:val="fr-FR"/>
        </w:rPr>
      </w:pPr>
      <w:r w:rsidRPr="00C63A39">
        <w:rPr>
          <w:b/>
          <w:bCs/>
          <w:snapToGrid w:val="0"/>
          <w:kern w:val="22"/>
          <w:szCs w:val="22"/>
          <w:lang w:val="fr-FR"/>
        </w:rPr>
        <w:t>________</w:t>
      </w:r>
    </w:p>
    <w:p w14:paraId="4C1E8DD6" w14:textId="1424385C" w:rsidR="000311B5" w:rsidRPr="00C63A39" w:rsidRDefault="000311B5" w:rsidP="00147472">
      <w:pPr>
        <w:spacing w:after="160" w:line="259" w:lineRule="auto"/>
        <w:rPr>
          <w:b/>
          <w:bCs/>
          <w:snapToGrid w:val="0"/>
          <w:kern w:val="22"/>
          <w:szCs w:val="22"/>
          <w:lang w:val="fr-FR"/>
        </w:rPr>
      </w:pPr>
    </w:p>
    <w:sectPr w:rsidR="000311B5" w:rsidRPr="00C63A39" w:rsidSect="006E23F0">
      <w:headerReference w:type="even" r:id="rId15"/>
      <w:headerReference w:type="default" r:id="rId16"/>
      <w:pgSz w:w="12240" w:h="15840"/>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85904" w14:textId="77777777" w:rsidR="00BB2288" w:rsidRDefault="00BB2288" w:rsidP="00451B9F">
      <w:r>
        <w:separator/>
      </w:r>
    </w:p>
  </w:endnote>
  <w:endnote w:type="continuationSeparator" w:id="0">
    <w:p w14:paraId="3387386A" w14:textId="77777777" w:rsidR="00BB2288" w:rsidRDefault="00BB2288" w:rsidP="00451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charset w:val="80"/>
    <w:family w:val="roman"/>
    <w:pitch w:val="variable"/>
    <w:sig w:usb0="800002E7" w:usb1="2AC7FCFF" w:usb2="00000012" w:usb3="00000000" w:csb0="0002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Lucida Grande">
    <w:charset w:val="00"/>
    <w:family w:val="auto"/>
    <w:pitch w:val="variable"/>
    <w:sig w:usb0="E1000AEF" w:usb1="5000A1FF" w:usb2="00000000" w:usb3="00000000" w:csb0="000001BF" w:csb1="00000000"/>
  </w:font>
  <w:font w:name="Malgun Gothic">
    <w:panose1 w:val="020B0503020000020004"/>
    <w:charset w:val="81"/>
    <w:family w:val="swiss"/>
    <w:pitch w:val="variable"/>
    <w:sig w:usb0="900002AF" w:usb1="09D77CFB" w:usb2="00000012" w:usb3="00000000" w:csb0="00080001" w:csb1="00000000"/>
  </w:font>
  <w:font w:name="Angsana New">
    <w:panose1 w:val="02020603050405020304"/>
    <w:charset w:val="00"/>
    <w:family w:val="roman"/>
    <w:pitch w:val="variable"/>
    <w:sig w:usb0="81000003" w:usb1="00000000" w:usb2="00000000" w:usb3="00000000" w:csb0="0001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33DE6" w14:textId="77777777" w:rsidR="00BB2288" w:rsidRDefault="00BB2288" w:rsidP="00451B9F">
      <w:r>
        <w:separator/>
      </w:r>
    </w:p>
  </w:footnote>
  <w:footnote w:type="continuationSeparator" w:id="0">
    <w:p w14:paraId="090334FC" w14:textId="77777777" w:rsidR="00BB2288" w:rsidRDefault="00BB2288" w:rsidP="00451B9F">
      <w:r>
        <w:continuationSeparator/>
      </w:r>
    </w:p>
  </w:footnote>
  <w:footnote w:id="1">
    <w:p w14:paraId="09F1D55E" w14:textId="584E1DB3" w:rsidR="00855825" w:rsidRPr="006E23F0" w:rsidRDefault="00855825" w:rsidP="006E23F0">
      <w:pPr>
        <w:pStyle w:val="FootnoteText"/>
        <w:ind w:firstLine="0"/>
        <w:rPr>
          <w:lang w:val="en-US"/>
        </w:rPr>
      </w:pPr>
      <w:r w:rsidRPr="006E23F0">
        <w:rPr>
          <w:rStyle w:val="FootnoteReference"/>
          <w:lang w:val="en-US"/>
        </w:rPr>
        <w:t>*</w:t>
      </w:r>
      <w:r>
        <w:t xml:space="preserve"> </w:t>
      </w:r>
      <w:hyperlink r:id="rId1" w:history="1">
        <w:r w:rsidRPr="00DB2860">
          <w:rPr>
            <w:rStyle w:val="Hyperlink"/>
          </w:rPr>
          <w:t>CBD/</w:t>
        </w:r>
        <w:proofErr w:type="spellStart"/>
        <w:r w:rsidRPr="00DB2860">
          <w:rPr>
            <w:rStyle w:val="Hyperlink"/>
          </w:rPr>
          <w:t>ExCOP</w:t>
        </w:r>
        <w:proofErr w:type="spellEnd"/>
        <w:r w:rsidRPr="00DB2860">
          <w:rPr>
            <w:rStyle w:val="Hyperlink"/>
          </w:rPr>
          <w:t>/2/1</w:t>
        </w:r>
      </w:hyperlink>
      <w:r>
        <w:t>.</w:t>
      </w:r>
    </w:p>
  </w:footnote>
  <w:footnote w:id="2">
    <w:p w14:paraId="72142324" w14:textId="445F7611" w:rsidR="00855825" w:rsidRPr="006E23F0" w:rsidRDefault="00855825" w:rsidP="006E23F0">
      <w:pPr>
        <w:pStyle w:val="FootnoteText"/>
        <w:ind w:firstLine="0"/>
        <w:rPr>
          <w:lang w:val="en-US"/>
        </w:rPr>
      </w:pPr>
      <w:r w:rsidRPr="006E23F0">
        <w:rPr>
          <w:rStyle w:val="FootnoteReference"/>
          <w:lang w:val="en-US"/>
        </w:rPr>
        <w:t>**</w:t>
      </w:r>
      <w:r>
        <w:t xml:space="preserve"> </w:t>
      </w:r>
      <w:hyperlink r:id="rId2" w:history="1">
        <w:r w:rsidRPr="00DB2860">
          <w:rPr>
            <w:rStyle w:val="Hyperlink"/>
          </w:rPr>
          <w:t>CBD/CP/</w:t>
        </w:r>
        <w:proofErr w:type="spellStart"/>
        <w:r w:rsidRPr="00DB2860">
          <w:rPr>
            <w:rStyle w:val="Hyperlink"/>
          </w:rPr>
          <w:t>ExMOP</w:t>
        </w:r>
        <w:proofErr w:type="spellEnd"/>
        <w:r w:rsidRPr="00DB2860">
          <w:rPr>
            <w:rStyle w:val="Hyperlink"/>
          </w:rPr>
          <w:t>/1/1</w:t>
        </w:r>
      </w:hyperlink>
      <w:r>
        <w:t>.</w:t>
      </w:r>
    </w:p>
  </w:footnote>
  <w:footnote w:id="3">
    <w:p w14:paraId="4925FECA" w14:textId="078DB328" w:rsidR="00855825" w:rsidRPr="006E23F0" w:rsidRDefault="00855825" w:rsidP="006E23F0">
      <w:pPr>
        <w:pStyle w:val="FootnoteText"/>
        <w:ind w:firstLine="0"/>
        <w:rPr>
          <w:lang w:val="en-US"/>
        </w:rPr>
      </w:pPr>
      <w:r w:rsidRPr="006E23F0">
        <w:rPr>
          <w:rStyle w:val="FootnoteReference"/>
          <w:lang w:val="en-US"/>
        </w:rPr>
        <w:t>***</w:t>
      </w:r>
      <w:r>
        <w:t xml:space="preserve"> </w:t>
      </w:r>
      <w:hyperlink r:id="rId3" w:history="1">
        <w:r w:rsidRPr="00DB2860">
          <w:rPr>
            <w:rStyle w:val="Hyperlink"/>
          </w:rPr>
          <w:t>CBD/NP/</w:t>
        </w:r>
        <w:proofErr w:type="spellStart"/>
        <w:r w:rsidRPr="00DB2860">
          <w:rPr>
            <w:rStyle w:val="Hyperlink"/>
          </w:rPr>
          <w:t>ExMOP</w:t>
        </w:r>
        <w:proofErr w:type="spellEnd"/>
        <w:r w:rsidRPr="00DB2860">
          <w:rPr>
            <w:rStyle w:val="Hyperlink"/>
          </w:rPr>
          <w:t>/1/1</w:t>
        </w:r>
      </w:hyperlink>
      <w:r>
        <w:t>.</w:t>
      </w:r>
    </w:p>
  </w:footnote>
  <w:footnote w:id="4">
    <w:p w14:paraId="06C75EB5" w14:textId="3A2A2781" w:rsidR="00855825" w:rsidRPr="006E23F0" w:rsidRDefault="00855825" w:rsidP="006E23F0">
      <w:pPr>
        <w:pStyle w:val="FootnoteText"/>
        <w:ind w:firstLine="0"/>
        <w:rPr>
          <w:lang w:val="en-US"/>
        </w:rPr>
      </w:pPr>
      <w:r>
        <w:rPr>
          <w:rStyle w:val="FootnoteReference"/>
        </w:rPr>
        <w:footnoteRef/>
      </w:r>
      <w:r>
        <w:t xml:space="preserve"> </w:t>
      </w:r>
      <w:proofErr w:type="spellStart"/>
      <w:r w:rsidRPr="006E23F0">
        <w:rPr>
          <w:lang w:val="en-US"/>
        </w:rPr>
        <w:t>Voir</w:t>
      </w:r>
      <w:proofErr w:type="spellEnd"/>
      <w:r w:rsidRPr="006E23F0">
        <w:rPr>
          <w:lang w:val="en-US"/>
        </w:rPr>
        <w:t xml:space="preserve"> </w:t>
      </w:r>
      <w:proofErr w:type="spellStart"/>
      <w:r w:rsidRPr="006E23F0">
        <w:rPr>
          <w:lang w:val="en-US"/>
        </w:rPr>
        <w:t>l’ordre</w:t>
      </w:r>
      <w:proofErr w:type="spellEnd"/>
      <w:r w:rsidRPr="006E23F0">
        <w:rPr>
          <w:lang w:val="en-US"/>
        </w:rPr>
        <w:t xml:space="preserve"> du jour </w:t>
      </w:r>
      <w:proofErr w:type="spellStart"/>
      <w:r w:rsidRPr="006E23F0">
        <w:rPr>
          <w:lang w:val="en-US"/>
        </w:rPr>
        <w:t>provisoire</w:t>
      </w:r>
      <w:proofErr w:type="spellEnd"/>
      <w:r w:rsidRPr="006E23F0">
        <w:rPr>
          <w:lang w:val="en-US"/>
        </w:rPr>
        <w:t xml:space="preserve"> </w:t>
      </w:r>
      <w:proofErr w:type="spellStart"/>
      <w:r w:rsidRPr="006E23F0">
        <w:rPr>
          <w:lang w:val="en-US"/>
        </w:rPr>
        <w:t>annoté</w:t>
      </w:r>
      <w:proofErr w:type="spellEnd"/>
      <w:r w:rsidRPr="006E23F0">
        <w:rPr>
          <w:lang w:val="en-US"/>
        </w:rPr>
        <w:t xml:space="preserve"> </w:t>
      </w:r>
      <w:hyperlink r:id="rId4" w:history="1">
        <w:r w:rsidRPr="006E23F0">
          <w:rPr>
            <w:rStyle w:val="Hyperlink"/>
            <w:lang w:val="en-US"/>
          </w:rPr>
          <w:t>(</w:t>
        </w:r>
        <w:r w:rsidRPr="001A1036">
          <w:rPr>
            <w:rStyle w:val="Hyperlink"/>
            <w:kern w:val="18"/>
          </w:rPr>
          <w:t>CBD/</w:t>
        </w:r>
        <w:proofErr w:type="spellStart"/>
        <w:r w:rsidRPr="001A1036">
          <w:rPr>
            <w:rStyle w:val="Hyperlink"/>
            <w:kern w:val="18"/>
          </w:rPr>
          <w:t>ExCOP</w:t>
        </w:r>
        <w:proofErr w:type="spellEnd"/>
        <w:r w:rsidRPr="001A1036">
          <w:rPr>
            <w:rStyle w:val="Hyperlink"/>
            <w:kern w:val="18"/>
          </w:rPr>
          <w:t>/2/1/Add.1</w:t>
        </w:r>
      </w:hyperlink>
      <w:r w:rsidRPr="00B63096">
        <w:rPr>
          <w:kern w:val="18"/>
        </w:rPr>
        <w:t xml:space="preserve">, </w:t>
      </w:r>
      <w:hyperlink r:id="rId5" w:history="1">
        <w:r w:rsidRPr="00B63096">
          <w:rPr>
            <w:rStyle w:val="Hyperlink"/>
            <w:kern w:val="18"/>
          </w:rPr>
          <w:t>CBD/CP/</w:t>
        </w:r>
        <w:proofErr w:type="spellStart"/>
        <w:r w:rsidRPr="00B63096">
          <w:rPr>
            <w:rStyle w:val="Hyperlink"/>
            <w:kern w:val="18"/>
          </w:rPr>
          <w:t>ExMOP</w:t>
        </w:r>
        <w:proofErr w:type="spellEnd"/>
        <w:r w:rsidRPr="00B63096">
          <w:rPr>
            <w:rStyle w:val="Hyperlink"/>
            <w:kern w:val="18"/>
          </w:rPr>
          <w:t>/1/</w:t>
        </w:r>
        <w:r>
          <w:rPr>
            <w:rStyle w:val="Hyperlink"/>
            <w:kern w:val="18"/>
          </w:rPr>
          <w:t>1/</w:t>
        </w:r>
        <w:r w:rsidRPr="00B63096">
          <w:rPr>
            <w:rStyle w:val="Hyperlink"/>
            <w:kern w:val="18"/>
          </w:rPr>
          <w:t>Add.1</w:t>
        </w:r>
      </w:hyperlink>
      <w:r w:rsidRPr="00B63096">
        <w:rPr>
          <w:kern w:val="18"/>
        </w:rPr>
        <w:t xml:space="preserve">, </w:t>
      </w:r>
      <w:hyperlink r:id="rId6" w:history="1">
        <w:r w:rsidRPr="00B63096">
          <w:rPr>
            <w:rStyle w:val="Hyperlink"/>
            <w:kern w:val="18"/>
          </w:rPr>
          <w:t>CBD/NP/</w:t>
        </w:r>
        <w:proofErr w:type="spellStart"/>
        <w:r w:rsidRPr="00B63096">
          <w:rPr>
            <w:rStyle w:val="Hyperlink"/>
            <w:kern w:val="18"/>
          </w:rPr>
          <w:t>ExMOP</w:t>
        </w:r>
        <w:proofErr w:type="spellEnd"/>
        <w:r w:rsidRPr="00B63096">
          <w:rPr>
            <w:rStyle w:val="Hyperlink"/>
            <w:kern w:val="18"/>
          </w:rPr>
          <w:t>/1/</w:t>
        </w:r>
        <w:r>
          <w:rPr>
            <w:rStyle w:val="Hyperlink"/>
            <w:kern w:val="18"/>
          </w:rPr>
          <w:t>1/</w:t>
        </w:r>
        <w:r w:rsidRPr="00B63096">
          <w:rPr>
            <w:rStyle w:val="Hyperlink"/>
            <w:kern w:val="18"/>
          </w:rPr>
          <w:t>Add.1</w:t>
        </w:r>
      </w:hyperlink>
      <w:r>
        <w:rPr>
          <w:rStyle w:val="Hyperlink"/>
          <w:kern w:val="18"/>
        </w:rPr>
        <w:t>)</w:t>
      </w:r>
    </w:p>
  </w:footnote>
  <w:footnote w:id="5">
    <w:p w14:paraId="25FBD9B0" w14:textId="24BF99DB" w:rsidR="00DC7648" w:rsidRPr="00634F61" w:rsidRDefault="00DC7648" w:rsidP="006E23F0">
      <w:pPr>
        <w:pStyle w:val="FootnoteText"/>
        <w:ind w:firstLine="0"/>
        <w:rPr>
          <w:lang w:val="fr-FR"/>
        </w:rPr>
      </w:pPr>
      <w:r>
        <w:rPr>
          <w:rStyle w:val="FootnoteReference"/>
        </w:rPr>
        <w:t>2</w:t>
      </w:r>
      <w:r w:rsidRPr="006E23F0">
        <w:rPr>
          <w:lang w:val="fr-CA"/>
        </w:rPr>
        <w:t xml:space="preserve"> </w:t>
      </w:r>
      <w:r w:rsidRPr="00000BC3">
        <w:rPr>
          <w:lang w:val="fr-FR"/>
        </w:rPr>
        <w:t>Règlement financier pour l'administration du Fonds d'affectation spéciale de la Convention</w:t>
      </w:r>
      <w:r>
        <w:rPr>
          <w:lang w:val="fr-FR"/>
        </w:rPr>
        <w:t xml:space="preserve"> de la diversité biologique (</w:t>
      </w:r>
      <w:r w:rsidRPr="00000BC3">
        <w:rPr>
          <w:lang w:val="fr-FR"/>
        </w:rPr>
        <w:t xml:space="preserve">décision </w:t>
      </w:r>
      <w:r w:rsidR="00BB2288">
        <w:fldChar w:fldCharType="begin"/>
      </w:r>
      <w:r w:rsidR="00BB2288" w:rsidRPr="00487B30">
        <w:rPr>
          <w:lang w:val="fr-CA"/>
        </w:rPr>
        <w:instrText xml:space="preserve"> </w:instrText>
      </w:r>
      <w:r w:rsidR="00BB2288" w:rsidRPr="00487B30">
        <w:rPr>
          <w:lang w:val="fr-CA"/>
        </w:rPr>
        <w:instrText xml:space="preserve">HYPERLINK "https://www.cbd.int/doc/decisions/cop-01/cop-01-dec-06-en.pdf" </w:instrText>
      </w:r>
      <w:r w:rsidR="00BB2288">
        <w:fldChar w:fldCharType="separate"/>
      </w:r>
      <w:r w:rsidRPr="00F82F38">
        <w:rPr>
          <w:rStyle w:val="Hyperlink"/>
          <w:lang w:val="fr-FR"/>
        </w:rPr>
        <w:t>I/6</w:t>
      </w:r>
      <w:r w:rsidR="00BB2288">
        <w:rPr>
          <w:rStyle w:val="Hyperlink"/>
          <w:lang w:val="fr-FR"/>
        </w:rPr>
        <w:fldChar w:fldCharType="end"/>
      </w:r>
      <w:r w:rsidRPr="00EB645B">
        <w:rPr>
          <w:color w:val="FF0000"/>
          <w:lang w:val="fr-FR"/>
        </w:rPr>
        <w:t xml:space="preserve"> </w:t>
      </w:r>
      <w:r>
        <w:rPr>
          <w:lang w:val="fr-FR"/>
        </w:rPr>
        <w:t>annexe).</w:t>
      </w:r>
    </w:p>
  </w:footnote>
  <w:footnote w:id="6">
    <w:p w14:paraId="12BC4A1D" w14:textId="10ACD933" w:rsidR="00DC7648" w:rsidRPr="00EB645B" w:rsidRDefault="00DC7648" w:rsidP="006E23F0">
      <w:pPr>
        <w:pStyle w:val="FootnoteText"/>
        <w:ind w:firstLine="0"/>
        <w:rPr>
          <w:lang w:val="fr-FR"/>
        </w:rPr>
      </w:pPr>
      <w:r>
        <w:rPr>
          <w:rStyle w:val="FootnoteReference"/>
        </w:rPr>
        <w:t>3</w:t>
      </w:r>
      <w:r w:rsidRPr="006E23F0">
        <w:rPr>
          <w:lang w:val="fr-CA"/>
        </w:rPr>
        <w:t xml:space="preserve"> </w:t>
      </w:r>
      <w:r w:rsidRPr="00317402">
        <w:rPr>
          <w:lang w:val="fr-FR"/>
        </w:rPr>
        <w:t xml:space="preserve">Actuellement, la </w:t>
      </w:r>
      <w:r>
        <w:rPr>
          <w:lang w:val="fr-FR"/>
        </w:rPr>
        <w:t>quinzième réunion de la Conférence des Parties</w:t>
      </w:r>
      <w:r w:rsidRPr="00317402">
        <w:rPr>
          <w:lang w:val="fr-FR"/>
        </w:rPr>
        <w:t xml:space="preserve"> et les réunions connexes des </w:t>
      </w:r>
      <w:r>
        <w:rPr>
          <w:lang w:val="fr-FR"/>
        </w:rPr>
        <w:t>P</w:t>
      </w:r>
      <w:r w:rsidRPr="00317402">
        <w:rPr>
          <w:lang w:val="fr-FR"/>
        </w:rPr>
        <w:t xml:space="preserve">rotocoles sont prévues pour mai 2020, mais un nouveau report pourrait être nécessaire en fonction du calendrier de </w:t>
      </w:r>
      <w:r>
        <w:rPr>
          <w:lang w:val="fr-FR"/>
        </w:rPr>
        <w:t>la vingt-quatrième réunion de l’Organe subsidiaire chargé de fournir des avis scientifiques</w:t>
      </w:r>
      <w:r w:rsidR="00FF7D61">
        <w:rPr>
          <w:lang w:val="fr-FR"/>
        </w:rPr>
        <w:t xml:space="preserve">, </w:t>
      </w:r>
      <w:r>
        <w:rPr>
          <w:lang w:val="fr-FR"/>
        </w:rPr>
        <w:t>techniques et technologiques</w:t>
      </w:r>
      <w:r w:rsidRPr="00317402">
        <w:rPr>
          <w:lang w:val="fr-FR"/>
        </w:rPr>
        <w:t>,</w:t>
      </w:r>
      <w:r>
        <w:rPr>
          <w:lang w:val="fr-FR"/>
        </w:rPr>
        <w:t xml:space="preserve"> de la troisième réunion de l’Organe subsidiaire chargé de l’application ainsi que la troisième réunion du Groupe de travail sur le cadre mondial de la biodiversité pour l’après-2020. </w:t>
      </w:r>
      <w:r w:rsidRPr="00317402">
        <w:rPr>
          <w:lang w:val="fr-FR"/>
        </w:rPr>
        <w:t xml:space="preserve"> </w:t>
      </w:r>
    </w:p>
  </w:footnote>
  <w:footnote w:id="7">
    <w:p w14:paraId="5CFDAF97" w14:textId="1BA69BB3" w:rsidR="00DC7648" w:rsidRPr="006E23F0" w:rsidRDefault="00DC7648" w:rsidP="00226DFF">
      <w:pPr>
        <w:pStyle w:val="FootnoteText"/>
        <w:ind w:firstLine="0"/>
        <w:rPr>
          <w:lang w:val="en-US"/>
        </w:rPr>
      </w:pPr>
      <w:r w:rsidRPr="006E23F0">
        <w:rPr>
          <w:rStyle w:val="FootnoteReference"/>
          <w:lang w:val="en-US"/>
        </w:rPr>
        <w:t>4</w:t>
      </w:r>
      <w:r>
        <w:t xml:space="preserve"> </w:t>
      </w:r>
      <w:r w:rsidRPr="006E23F0">
        <w:rPr>
          <w:lang w:val="en-US"/>
        </w:rPr>
        <w:t>CBD/</w:t>
      </w:r>
      <w:proofErr w:type="spellStart"/>
      <w:r w:rsidRPr="006E23F0">
        <w:rPr>
          <w:lang w:val="en-US"/>
        </w:rPr>
        <w:t>ExCOP</w:t>
      </w:r>
      <w:proofErr w:type="spellEnd"/>
      <w:r w:rsidRPr="006E23F0">
        <w:rPr>
          <w:lang w:val="en-US"/>
        </w:rPr>
        <w:t xml:space="preserve">/2/2. </w:t>
      </w:r>
    </w:p>
  </w:footnote>
  <w:footnote w:id="8">
    <w:p w14:paraId="5E9CC209" w14:textId="7D9D7B11" w:rsidR="00DC7648" w:rsidRPr="006E23F0" w:rsidRDefault="00DC7648" w:rsidP="00EB35C8">
      <w:pPr>
        <w:pStyle w:val="FootnoteText"/>
        <w:ind w:firstLine="0"/>
        <w:rPr>
          <w:lang w:val="en-US"/>
        </w:rPr>
      </w:pPr>
      <w:r w:rsidRPr="006E23F0">
        <w:rPr>
          <w:rStyle w:val="FootnoteReference"/>
          <w:lang w:val="en-US"/>
        </w:rPr>
        <w:t>5</w:t>
      </w:r>
      <w:r>
        <w:t xml:space="preserve"> </w:t>
      </w:r>
      <w:r w:rsidRPr="006E23F0">
        <w:rPr>
          <w:lang w:val="en-US"/>
        </w:rPr>
        <w:t>CBD/CP/</w:t>
      </w:r>
      <w:proofErr w:type="spellStart"/>
      <w:r w:rsidRPr="006E23F0">
        <w:rPr>
          <w:lang w:val="en-US"/>
        </w:rPr>
        <w:t>ExMOP</w:t>
      </w:r>
      <w:proofErr w:type="spellEnd"/>
      <w:r w:rsidRPr="006E23F0">
        <w:rPr>
          <w:lang w:val="en-US"/>
        </w:rPr>
        <w:t>/1/2.</w:t>
      </w:r>
    </w:p>
  </w:footnote>
  <w:footnote w:id="9">
    <w:p w14:paraId="091806E0" w14:textId="29AAEC21" w:rsidR="00DC7648" w:rsidRPr="006E3D30" w:rsidRDefault="00DC7648" w:rsidP="00EB35C8">
      <w:pPr>
        <w:pStyle w:val="FootnoteText"/>
        <w:ind w:firstLine="0"/>
        <w:rPr>
          <w:lang w:val="fr-FR"/>
        </w:rPr>
      </w:pPr>
      <w:r>
        <w:rPr>
          <w:rStyle w:val="FootnoteReference"/>
        </w:rPr>
        <w:t>6</w:t>
      </w:r>
      <w:r>
        <w:t xml:space="preserve"> </w:t>
      </w:r>
      <w:r>
        <w:rPr>
          <w:lang w:val="fr-FR"/>
        </w:rPr>
        <w:t>CBD/NP/</w:t>
      </w:r>
      <w:proofErr w:type="spellStart"/>
      <w:r>
        <w:rPr>
          <w:lang w:val="fr-FR"/>
        </w:rPr>
        <w:t>ExMOP</w:t>
      </w:r>
      <w:proofErr w:type="spellEnd"/>
      <w:r>
        <w:rPr>
          <w:lang w:val="fr-FR"/>
        </w:rPr>
        <w:t>/1/2.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Cs/>
        <w:snapToGrid w:val="0"/>
        <w:kern w:val="22"/>
        <w:szCs w:val="22"/>
      </w:rPr>
      <w:alias w:val="Subject"/>
      <w:tag w:val=""/>
      <w:id w:val="1224254221"/>
      <w:placeholder>
        <w:docPart w:val="05FEA5A2EE9246D1BAE95F92BCFD8609"/>
      </w:placeholder>
      <w:dataBinding w:prefixMappings="xmlns:ns0='http://purl.org/dc/elements/1.1/' xmlns:ns1='http://schemas.openxmlformats.org/package/2006/metadata/core-properties' " w:xpath="/ns1:coreProperties[1]/ns0:subject[1]" w:storeItemID="{6C3C8BC8-F283-45AE-878A-BAB7291924A1}"/>
      <w:text/>
    </w:sdtPr>
    <w:sdtEndPr/>
    <w:sdtContent>
      <w:p w14:paraId="69B6921F" w14:textId="0BF6BC22" w:rsidR="00855825" w:rsidRPr="000322A9" w:rsidRDefault="00855825" w:rsidP="000322A9">
        <w:pPr>
          <w:ind w:right="7375"/>
          <w:jc w:val="left"/>
          <w:rPr>
            <w:color w:val="000000" w:themeColor="text1"/>
            <w:kern w:val="20"/>
            <w:szCs w:val="22"/>
            <w:lang w:val="en-CA"/>
          </w:rPr>
        </w:pPr>
        <w:r w:rsidRPr="005F4F70">
          <w:rPr>
            <w:iCs/>
            <w:snapToGrid w:val="0"/>
            <w:kern w:val="22"/>
            <w:szCs w:val="22"/>
          </w:rPr>
          <w:t>CBD/</w:t>
        </w:r>
        <w:proofErr w:type="spellStart"/>
        <w:r w:rsidRPr="005F4F70">
          <w:rPr>
            <w:iCs/>
            <w:snapToGrid w:val="0"/>
            <w:kern w:val="22"/>
            <w:szCs w:val="22"/>
          </w:rPr>
          <w:t>ExCOP</w:t>
        </w:r>
        <w:proofErr w:type="spellEnd"/>
        <w:r w:rsidRPr="005F4F70">
          <w:rPr>
            <w:iCs/>
            <w:snapToGrid w:val="0"/>
            <w:kern w:val="22"/>
            <w:szCs w:val="22"/>
          </w:rPr>
          <w:t>/2/2 CBD/CP/</w:t>
        </w:r>
        <w:proofErr w:type="spellStart"/>
        <w:r w:rsidRPr="005F4F70">
          <w:rPr>
            <w:iCs/>
            <w:snapToGrid w:val="0"/>
            <w:kern w:val="22"/>
            <w:szCs w:val="22"/>
          </w:rPr>
          <w:t>ExMOP</w:t>
        </w:r>
        <w:proofErr w:type="spellEnd"/>
        <w:r w:rsidRPr="005F4F70">
          <w:rPr>
            <w:iCs/>
            <w:snapToGrid w:val="0"/>
            <w:kern w:val="22"/>
            <w:szCs w:val="22"/>
          </w:rPr>
          <w:t>/1/2</w:t>
        </w:r>
        <w:r>
          <w:rPr>
            <w:iCs/>
            <w:snapToGrid w:val="0"/>
            <w:kern w:val="22"/>
            <w:szCs w:val="22"/>
          </w:rPr>
          <w:t xml:space="preserve"> </w:t>
        </w:r>
        <w:r w:rsidRPr="00CF1C2F">
          <w:rPr>
            <w:iCs/>
            <w:snapToGrid w:val="0"/>
            <w:kern w:val="22"/>
            <w:szCs w:val="22"/>
          </w:rPr>
          <w:t>CBD/NP/</w:t>
        </w:r>
        <w:proofErr w:type="spellStart"/>
        <w:r w:rsidRPr="00CF1C2F">
          <w:rPr>
            <w:iCs/>
            <w:snapToGrid w:val="0"/>
            <w:kern w:val="22"/>
            <w:szCs w:val="22"/>
          </w:rPr>
          <w:t>ExMOP</w:t>
        </w:r>
        <w:proofErr w:type="spellEnd"/>
        <w:r w:rsidRPr="00CF1C2F">
          <w:rPr>
            <w:iCs/>
            <w:snapToGrid w:val="0"/>
            <w:kern w:val="22"/>
            <w:szCs w:val="22"/>
          </w:rPr>
          <w:t>/1/2</w:t>
        </w:r>
      </w:p>
    </w:sdtContent>
  </w:sdt>
  <w:p w14:paraId="2AC5E781" w14:textId="1EB80C24" w:rsidR="00855825" w:rsidRPr="00437DE2" w:rsidRDefault="00855825" w:rsidP="000322A9">
    <w:pPr>
      <w:pStyle w:val="Header"/>
      <w:ind w:right="7092"/>
      <w:jc w:val="left"/>
      <w:rPr>
        <w:noProof/>
        <w:kern w:val="22"/>
        <w:lang w:val="fr-FR"/>
      </w:rPr>
    </w:pPr>
    <w:r w:rsidRPr="00437DE2">
      <w:rPr>
        <w:noProof/>
        <w:kern w:val="22"/>
        <w:lang w:val="fr-FR"/>
      </w:rPr>
      <w:t xml:space="preserve">Page </w:t>
    </w:r>
    <w:r w:rsidRPr="00791E0A">
      <w:rPr>
        <w:noProof/>
        <w:kern w:val="22"/>
      </w:rPr>
      <w:fldChar w:fldCharType="begin"/>
    </w:r>
    <w:r w:rsidRPr="00437DE2">
      <w:rPr>
        <w:noProof/>
        <w:kern w:val="22"/>
        <w:lang w:val="fr-FR"/>
      </w:rPr>
      <w:instrText xml:space="preserve"> PAGE   \* MERGEFORMAT </w:instrText>
    </w:r>
    <w:r w:rsidRPr="00791E0A">
      <w:rPr>
        <w:noProof/>
        <w:kern w:val="22"/>
      </w:rPr>
      <w:fldChar w:fldCharType="separate"/>
    </w:r>
    <w:r>
      <w:rPr>
        <w:noProof/>
        <w:kern w:val="22"/>
        <w:lang w:val="fr-FR"/>
      </w:rPr>
      <w:t>8</w:t>
    </w:r>
    <w:r w:rsidRPr="00791E0A">
      <w:rPr>
        <w:noProof/>
        <w:kern w:val="22"/>
      </w:rPr>
      <w:fldChar w:fldCharType="end"/>
    </w:r>
  </w:p>
  <w:p w14:paraId="01A518A8" w14:textId="77777777" w:rsidR="00855825" w:rsidRPr="00437DE2" w:rsidRDefault="00855825" w:rsidP="00791E0A">
    <w:pPr>
      <w:pStyle w:val="Header"/>
      <w:rPr>
        <w:noProof/>
        <w:kern w:val="22"/>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Cs/>
        <w:snapToGrid w:val="0"/>
        <w:kern w:val="22"/>
        <w:szCs w:val="22"/>
      </w:rPr>
      <w:alias w:val="Subject"/>
      <w:tag w:val=""/>
      <w:id w:val="-41671026"/>
      <w:placeholder>
        <w:docPart w:val="6CFC5E2F02354C2C8E983EEEA5016617"/>
      </w:placeholder>
      <w:dataBinding w:prefixMappings="xmlns:ns0='http://purl.org/dc/elements/1.1/' xmlns:ns1='http://schemas.openxmlformats.org/package/2006/metadata/core-properties' " w:xpath="/ns1:coreProperties[1]/ns0:subject[1]" w:storeItemID="{6C3C8BC8-F283-45AE-878A-BAB7291924A1}"/>
      <w:text/>
    </w:sdtPr>
    <w:sdtEndPr/>
    <w:sdtContent>
      <w:p w14:paraId="29AF2D00" w14:textId="77777777" w:rsidR="00855825" w:rsidRPr="006466C5" w:rsidRDefault="00855825" w:rsidP="000322A9">
        <w:pPr>
          <w:ind w:left="6379" w:right="4"/>
          <w:jc w:val="right"/>
          <w:rPr>
            <w:color w:val="000000" w:themeColor="text1"/>
            <w:kern w:val="20"/>
            <w:szCs w:val="22"/>
            <w:lang w:val="en-CA"/>
          </w:rPr>
        </w:pPr>
        <w:r w:rsidRPr="005F4F70">
          <w:rPr>
            <w:iCs/>
            <w:snapToGrid w:val="0"/>
            <w:kern w:val="22"/>
            <w:szCs w:val="22"/>
          </w:rPr>
          <w:t>CBD/</w:t>
        </w:r>
        <w:proofErr w:type="spellStart"/>
        <w:r w:rsidRPr="005F4F70">
          <w:rPr>
            <w:iCs/>
            <w:snapToGrid w:val="0"/>
            <w:kern w:val="22"/>
            <w:szCs w:val="22"/>
          </w:rPr>
          <w:t>ExCOP</w:t>
        </w:r>
        <w:proofErr w:type="spellEnd"/>
        <w:r w:rsidRPr="005F4F70">
          <w:rPr>
            <w:iCs/>
            <w:snapToGrid w:val="0"/>
            <w:kern w:val="22"/>
            <w:szCs w:val="22"/>
          </w:rPr>
          <w:t>/2/2 CBD/CP/</w:t>
        </w:r>
        <w:proofErr w:type="spellStart"/>
        <w:r w:rsidRPr="005F4F70">
          <w:rPr>
            <w:iCs/>
            <w:snapToGrid w:val="0"/>
            <w:kern w:val="22"/>
            <w:szCs w:val="22"/>
          </w:rPr>
          <w:t>ExMOP</w:t>
        </w:r>
        <w:proofErr w:type="spellEnd"/>
        <w:r w:rsidRPr="005F4F70">
          <w:rPr>
            <w:iCs/>
            <w:snapToGrid w:val="0"/>
            <w:kern w:val="22"/>
            <w:szCs w:val="22"/>
          </w:rPr>
          <w:t>/1/2</w:t>
        </w:r>
        <w:r>
          <w:rPr>
            <w:iCs/>
            <w:snapToGrid w:val="0"/>
            <w:kern w:val="22"/>
            <w:szCs w:val="22"/>
          </w:rPr>
          <w:t xml:space="preserve"> </w:t>
        </w:r>
        <w:r w:rsidRPr="00CF1C2F">
          <w:rPr>
            <w:iCs/>
            <w:snapToGrid w:val="0"/>
            <w:kern w:val="22"/>
            <w:szCs w:val="22"/>
          </w:rPr>
          <w:t>CBD/NP/</w:t>
        </w:r>
        <w:proofErr w:type="spellStart"/>
        <w:r w:rsidRPr="00CF1C2F">
          <w:rPr>
            <w:iCs/>
            <w:snapToGrid w:val="0"/>
            <w:kern w:val="22"/>
            <w:szCs w:val="22"/>
          </w:rPr>
          <w:t>ExMOP</w:t>
        </w:r>
        <w:proofErr w:type="spellEnd"/>
        <w:r w:rsidRPr="00CF1C2F">
          <w:rPr>
            <w:iCs/>
            <w:snapToGrid w:val="0"/>
            <w:kern w:val="22"/>
            <w:szCs w:val="22"/>
          </w:rPr>
          <w:t>/1/2</w:t>
        </w:r>
      </w:p>
    </w:sdtContent>
  </w:sdt>
  <w:p w14:paraId="405E27FA" w14:textId="77777777" w:rsidR="00855825" w:rsidRPr="00437DE2" w:rsidRDefault="00855825" w:rsidP="000322A9">
    <w:pPr>
      <w:pStyle w:val="Header"/>
      <w:ind w:left="6379" w:right="4"/>
      <w:jc w:val="right"/>
      <w:rPr>
        <w:noProof/>
        <w:kern w:val="22"/>
        <w:lang w:val="fr-FR"/>
      </w:rPr>
    </w:pPr>
    <w:r w:rsidRPr="00437DE2">
      <w:rPr>
        <w:noProof/>
        <w:kern w:val="22"/>
        <w:lang w:val="fr-FR"/>
      </w:rPr>
      <w:t xml:space="preserve">Page </w:t>
    </w:r>
    <w:r w:rsidRPr="00791E0A">
      <w:rPr>
        <w:noProof/>
        <w:kern w:val="22"/>
      </w:rPr>
      <w:fldChar w:fldCharType="begin"/>
    </w:r>
    <w:r w:rsidRPr="00437DE2">
      <w:rPr>
        <w:noProof/>
        <w:kern w:val="22"/>
        <w:lang w:val="fr-FR"/>
      </w:rPr>
      <w:instrText xml:space="preserve"> PAGE   \* MERGEFORMAT </w:instrText>
    </w:r>
    <w:r w:rsidRPr="00791E0A">
      <w:rPr>
        <w:noProof/>
        <w:kern w:val="22"/>
      </w:rPr>
      <w:fldChar w:fldCharType="separate"/>
    </w:r>
    <w:r>
      <w:rPr>
        <w:noProof/>
        <w:kern w:val="22"/>
      </w:rPr>
      <w:t>2</w:t>
    </w:r>
    <w:r w:rsidRPr="00791E0A">
      <w:rPr>
        <w:noProof/>
        <w:kern w:val="22"/>
      </w:rPr>
      <w:fldChar w:fldCharType="end"/>
    </w:r>
  </w:p>
  <w:p w14:paraId="67859B16" w14:textId="77777777" w:rsidR="00855825" w:rsidRPr="00437DE2" w:rsidRDefault="00855825" w:rsidP="00791E0A">
    <w:pPr>
      <w:pStyle w:val="Header"/>
      <w:jc w:val="right"/>
      <w:rPr>
        <w:noProof/>
        <w:kern w:val="2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 w15:restartNumberingAfterBreak="0">
    <w:nsid w:val="37783C51"/>
    <w:multiLevelType w:val="hybridMultilevel"/>
    <w:tmpl w:val="A91C0382"/>
    <w:lvl w:ilvl="0" w:tplc="84E23CE6">
      <w:start w:val="1"/>
      <w:numFmt w:val="upperLetter"/>
      <w:lvlText w:val="%1."/>
      <w:lvlJc w:val="left"/>
      <w:pPr>
        <w:ind w:left="4680" w:hanging="360"/>
      </w:pPr>
      <w:rPr>
        <w:rFonts w:hint="default"/>
        <w:b/>
        <w:color w:val="000000" w:themeColor="text1"/>
      </w:rPr>
    </w:lvl>
    <w:lvl w:ilvl="1" w:tplc="040C0019" w:tentative="1">
      <w:start w:val="1"/>
      <w:numFmt w:val="lowerLetter"/>
      <w:lvlText w:val="%2."/>
      <w:lvlJc w:val="left"/>
      <w:pPr>
        <w:ind w:left="5400" w:hanging="360"/>
      </w:pPr>
    </w:lvl>
    <w:lvl w:ilvl="2" w:tplc="040C001B" w:tentative="1">
      <w:start w:val="1"/>
      <w:numFmt w:val="lowerRoman"/>
      <w:lvlText w:val="%3."/>
      <w:lvlJc w:val="right"/>
      <w:pPr>
        <w:ind w:left="6120" w:hanging="180"/>
      </w:pPr>
    </w:lvl>
    <w:lvl w:ilvl="3" w:tplc="040C000F" w:tentative="1">
      <w:start w:val="1"/>
      <w:numFmt w:val="decimal"/>
      <w:lvlText w:val="%4."/>
      <w:lvlJc w:val="left"/>
      <w:pPr>
        <w:ind w:left="6840" w:hanging="360"/>
      </w:pPr>
    </w:lvl>
    <w:lvl w:ilvl="4" w:tplc="040C0019" w:tentative="1">
      <w:start w:val="1"/>
      <w:numFmt w:val="lowerLetter"/>
      <w:lvlText w:val="%5."/>
      <w:lvlJc w:val="left"/>
      <w:pPr>
        <w:ind w:left="7560" w:hanging="360"/>
      </w:pPr>
    </w:lvl>
    <w:lvl w:ilvl="5" w:tplc="040C001B" w:tentative="1">
      <w:start w:val="1"/>
      <w:numFmt w:val="lowerRoman"/>
      <w:lvlText w:val="%6."/>
      <w:lvlJc w:val="right"/>
      <w:pPr>
        <w:ind w:left="8280" w:hanging="180"/>
      </w:pPr>
    </w:lvl>
    <w:lvl w:ilvl="6" w:tplc="040C000F" w:tentative="1">
      <w:start w:val="1"/>
      <w:numFmt w:val="decimal"/>
      <w:lvlText w:val="%7."/>
      <w:lvlJc w:val="left"/>
      <w:pPr>
        <w:ind w:left="9000" w:hanging="360"/>
      </w:pPr>
    </w:lvl>
    <w:lvl w:ilvl="7" w:tplc="040C0019" w:tentative="1">
      <w:start w:val="1"/>
      <w:numFmt w:val="lowerLetter"/>
      <w:lvlText w:val="%8."/>
      <w:lvlJc w:val="left"/>
      <w:pPr>
        <w:ind w:left="9720" w:hanging="360"/>
      </w:pPr>
    </w:lvl>
    <w:lvl w:ilvl="8" w:tplc="040C001B" w:tentative="1">
      <w:start w:val="1"/>
      <w:numFmt w:val="lowerRoman"/>
      <w:lvlText w:val="%9."/>
      <w:lvlJc w:val="right"/>
      <w:pPr>
        <w:ind w:left="10440" w:hanging="180"/>
      </w:pPr>
    </w:lvl>
  </w:abstractNum>
  <w:abstractNum w:abstractNumId="2"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15:restartNumberingAfterBreak="0">
    <w:nsid w:val="48B162D1"/>
    <w:multiLevelType w:val="hybridMultilevel"/>
    <w:tmpl w:val="894EFA34"/>
    <w:lvl w:ilvl="0" w:tplc="68A861F0">
      <w:start w:val="1"/>
      <w:numFmt w:val="decimal"/>
      <w:lvlText w:val="%1."/>
      <w:lvlJc w:val="left"/>
      <w:pPr>
        <w:ind w:left="630" w:hanging="360"/>
      </w:pPr>
      <w:rPr>
        <w:rFonts w:hint="default"/>
        <w:color w:val="auto"/>
      </w:rPr>
    </w:lvl>
    <w:lvl w:ilvl="1" w:tplc="E3E464E0">
      <w:start w:val="1"/>
      <w:numFmt w:val="lowerLetter"/>
      <w:lvlText w:val="(%2)"/>
      <w:lvlJc w:val="left"/>
      <w:pPr>
        <w:ind w:left="1440" w:hanging="360"/>
      </w:pPr>
      <w:rPr>
        <w:rFonts w:hint="default"/>
      </w:rPr>
    </w:lvl>
    <w:lvl w:ilvl="2" w:tplc="1F40432E">
      <w:start w:val="6"/>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61FB2F3F"/>
    <w:multiLevelType w:val="hybridMultilevel"/>
    <w:tmpl w:val="4F946178"/>
    <w:lvl w:ilvl="0" w:tplc="9872E41A">
      <w:start w:val="1"/>
      <w:numFmt w:val="upperRoman"/>
      <w:lvlText w:val="%1."/>
      <w:lvlJc w:val="left"/>
      <w:pPr>
        <w:ind w:left="2160" w:hanging="720"/>
      </w:pPr>
      <w:rPr>
        <w:rFonts w:hint="default"/>
        <w:b/>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7" w15:restartNumberingAfterBreak="0">
    <w:nsid w:val="673809CC"/>
    <w:multiLevelType w:val="hybridMultilevel"/>
    <w:tmpl w:val="496AC934"/>
    <w:lvl w:ilvl="0" w:tplc="68A861F0">
      <w:start w:val="1"/>
      <w:numFmt w:val="decimal"/>
      <w:lvlText w:val="%1."/>
      <w:lvlJc w:val="left"/>
      <w:pPr>
        <w:ind w:left="63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380B85"/>
    <w:multiLevelType w:val="hybridMultilevel"/>
    <w:tmpl w:val="496AC934"/>
    <w:lvl w:ilvl="0" w:tplc="68A861F0">
      <w:start w:val="1"/>
      <w:numFmt w:val="decimal"/>
      <w:lvlText w:val="%1."/>
      <w:lvlJc w:val="left"/>
      <w:pPr>
        <w:ind w:left="90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9C7FB4"/>
    <w:multiLevelType w:val="hybridMultilevel"/>
    <w:tmpl w:val="D4323962"/>
    <w:lvl w:ilvl="0" w:tplc="C106BA76">
      <w:start w:val="4"/>
      <w:numFmt w:val="upperRoman"/>
      <w:lvlText w:val="%1."/>
      <w:lvlJc w:val="left"/>
      <w:pPr>
        <w:ind w:left="2160" w:hanging="72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1" w15:restartNumberingAfterBreak="0">
    <w:nsid w:val="7A5E48AD"/>
    <w:multiLevelType w:val="hybridMultilevel"/>
    <w:tmpl w:val="D2E0826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9"/>
  </w:num>
  <w:num w:numId="5">
    <w:abstractNumId w:val="2"/>
  </w:num>
  <w:num w:numId="6">
    <w:abstractNumId w:val="0"/>
  </w:num>
  <w:num w:numId="7">
    <w:abstractNumId w:val="5"/>
  </w:num>
  <w:num w:numId="8">
    <w:abstractNumId w:val="4"/>
  </w:num>
  <w:num w:numId="9">
    <w:abstractNumId w:val="6"/>
  </w:num>
  <w:num w:numId="10">
    <w:abstractNumId w:val="10"/>
  </w:num>
  <w:num w:numId="11">
    <w:abstractNumId w:val="11"/>
  </w:num>
  <w:num w:numId="1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activeWritingStyle w:appName="MSWord" w:lang="de-AT" w:vendorID="64" w:dllVersion="6" w:nlCheck="1" w:checkStyle="0"/>
  <w:activeWritingStyle w:appName="MSWord" w:lang="en-CA"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CA" w:vendorID="64" w:dllVersion="0" w:nlCheck="1" w:checkStyle="0"/>
  <w:activeWritingStyle w:appName="MSWord" w:lang="en-US" w:vendorID="64" w:dllVersion="0" w:nlCheck="1" w:checkStyle="0"/>
  <w:activeWritingStyle w:appName="MSWord" w:lang="de-CH" w:vendorID="64" w:dllVersion="6" w:nlCheck="1" w:checkStyle="0"/>
  <w:activeWritingStyle w:appName="MSWord" w:lang="en-GB" w:vendorID="64" w:dllVersion="0" w:nlCheck="1" w:checkStyle="0"/>
  <w:activeWritingStyle w:appName="MSWord" w:lang="en-GB" w:vendorID="64" w:dllVersion="4096" w:nlCheck="1" w:checkStyle="0"/>
  <w:activeWritingStyle w:appName="MSWord" w:lang="en-CA" w:vendorID="64" w:dllVersion="4096" w:nlCheck="1" w:checkStyle="0"/>
  <w:activeWritingStyle w:appName="MSWord" w:lang="en-US" w:vendorID="64" w:dllVersion="4096" w:nlCheck="1" w:checkStyle="0"/>
  <w:activeWritingStyle w:appName="MSWord" w:lang="fr-FR" w:vendorID="64" w:dllVersion="0" w:nlCheck="1" w:checkStyle="0"/>
  <w:activeWritingStyle w:appName="MSWord" w:lang="de-CH" w:vendorID="64" w:dllVersion="4096" w:nlCheck="1" w:checkStyle="0"/>
  <w:activeWritingStyle w:appName="MSWord" w:lang="fr-FR" w:vendorID="64" w:dllVersion="4096" w:nlCheck="1" w:checkStyle="0"/>
  <w:activeWritingStyle w:appName="MSWord" w:lang="fr-CA" w:vendorID="64" w:dllVersion="0" w:nlCheck="1" w:checkStyle="0"/>
  <w:proofState w:spelling="clean" w:grammar="clean"/>
  <w:defaultTabStop w:val="720"/>
  <w:hyphenationZone w:val="425"/>
  <w:evenAndOddHeaders/>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B9F"/>
    <w:rsid w:val="00000BC3"/>
    <w:rsid w:val="00000BF5"/>
    <w:rsid w:val="00002AE4"/>
    <w:rsid w:val="00004159"/>
    <w:rsid w:val="0000440D"/>
    <w:rsid w:val="00014329"/>
    <w:rsid w:val="00017720"/>
    <w:rsid w:val="0001777E"/>
    <w:rsid w:val="00021164"/>
    <w:rsid w:val="000213E9"/>
    <w:rsid w:val="000228E8"/>
    <w:rsid w:val="000231BD"/>
    <w:rsid w:val="00025493"/>
    <w:rsid w:val="000258D2"/>
    <w:rsid w:val="0002685A"/>
    <w:rsid w:val="000268A5"/>
    <w:rsid w:val="00026F68"/>
    <w:rsid w:val="00027385"/>
    <w:rsid w:val="00027C88"/>
    <w:rsid w:val="00030DEB"/>
    <w:rsid w:val="000311B5"/>
    <w:rsid w:val="000322A9"/>
    <w:rsid w:val="00033DD1"/>
    <w:rsid w:val="00034518"/>
    <w:rsid w:val="00035F25"/>
    <w:rsid w:val="000362C9"/>
    <w:rsid w:val="00037E37"/>
    <w:rsid w:val="00040B48"/>
    <w:rsid w:val="000413C5"/>
    <w:rsid w:val="00041CC2"/>
    <w:rsid w:val="000461BE"/>
    <w:rsid w:val="00046E6A"/>
    <w:rsid w:val="00050722"/>
    <w:rsid w:val="0005171F"/>
    <w:rsid w:val="00051F11"/>
    <w:rsid w:val="00053772"/>
    <w:rsid w:val="00053972"/>
    <w:rsid w:val="0006126C"/>
    <w:rsid w:val="000624FC"/>
    <w:rsid w:val="00062627"/>
    <w:rsid w:val="000627AB"/>
    <w:rsid w:val="000641D7"/>
    <w:rsid w:val="00064499"/>
    <w:rsid w:val="00065000"/>
    <w:rsid w:val="00065235"/>
    <w:rsid w:val="00065EE0"/>
    <w:rsid w:val="000660D0"/>
    <w:rsid w:val="00070B88"/>
    <w:rsid w:val="00074CC9"/>
    <w:rsid w:val="00075F4E"/>
    <w:rsid w:val="00075F7B"/>
    <w:rsid w:val="00084D62"/>
    <w:rsid w:val="00084E4F"/>
    <w:rsid w:val="000854E5"/>
    <w:rsid w:val="0008575E"/>
    <w:rsid w:val="00086D77"/>
    <w:rsid w:val="000925AC"/>
    <w:rsid w:val="00093DE2"/>
    <w:rsid w:val="0009465B"/>
    <w:rsid w:val="000A0039"/>
    <w:rsid w:val="000A2755"/>
    <w:rsid w:val="000A33DA"/>
    <w:rsid w:val="000A3602"/>
    <w:rsid w:val="000A5F84"/>
    <w:rsid w:val="000B2054"/>
    <w:rsid w:val="000B209F"/>
    <w:rsid w:val="000B2250"/>
    <w:rsid w:val="000B23EF"/>
    <w:rsid w:val="000B2EC2"/>
    <w:rsid w:val="000B312C"/>
    <w:rsid w:val="000B35E1"/>
    <w:rsid w:val="000B4667"/>
    <w:rsid w:val="000B7B72"/>
    <w:rsid w:val="000C049C"/>
    <w:rsid w:val="000C252F"/>
    <w:rsid w:val="000C2D22"/>
    <w:rsid w:val="000C3ABA"/>
    <w:rsid w:val="000C44C3"/>
    <w:rsid w:val="000C562C"/>
    <w:rsid w:val="000C58C2"/>
    <w:rsid w:val="000C7016"/>
    <w:rsid w:val="000C7391"/>
    <w:rsid w:val="000D0E73"/>
    <w:rsid w:val="000D19CC"/>
    <w:rsid w:val="000D38D0"/>
    <w:rsid w:val="000D447D"/>
    <w:rsid w:val="000D568A"/>
    <w:rsid w:val="000D5C82"/>
    <w:rsid w:val="000D73FF"/>
    <w:rsid w:val="000E0CAA"/>
    <w:rsid w:val="000E100D"/>
    <w:rsid w:val="000E10D1"/>
    <w:rsid w:val="000E1180"/>
    <w:rsid w:val="000E205B"/>
    <w:rsid w:val="000E245E"/>
    <w:rsid w:val="000E35DD"/>
    <w:rsid w:val="000E4860"/>
    <w:rsid w:val="000E61DF"/>
    <w:rsid w:val="000E7027"/>
    <w:rsid w:val="000E7ACC"/>
    <w:rsid w:val="000E7C47"/>
    <w:rsid w:val="000F1208"/>
    <w:rsid w:val="000F1F71"/>
    <w:rsid w:val="000F20D0"/>
    <w:rsid w:val="000F5F9C"/>
    <w:rsid w:val="000F6DC6"/>
    <w:rsid w:val="000F72CA"/>
    <w:rsid w:val="00100491"/>
    <w:rsid w:val="00100515"/>
    <w:rsid w:val="001007DD"/>
    <w:rsid w:val="00100802"/>
    <w:rsid w:val="0010148C"/>
    <w:rsid w:val="00105C68"/>
    <w:rsid w:val="00106652"/>
    <w:rsid w:val="00107EB6"/>
    <w:rsid w:val="001124EB"/>
    <w:rsid w:val="00116979"/>
    <w:rsid w:val="00116AD9"/>
    <w:rsid w:val="00117EF9"/>
    <w:rsid w:val="00120230"/>
    <w:rsid w:val="0012127B"/>
    <w:rsid w:val="00121DD4"/>
    <w:rsid w:val="00122908"/>
    <w:rsid w:val="0012481C"/>
    <w:rsid w:val="001272D6"/>
    <w:rsid w:val="00133C8B"/>
    <w:rsid w:val="00134435"/>
    <w:rsid w:val="00134C2E"/>
    <w:rsid w:val="001351C3"/>
    <w:rsid w:val="00136EA5"/>
    <w:rsid w:val="0013718A"/>
    <w:rsid w:val="001378FC"/>
    <w:rsid w:val="00141310"/>
    <w:rsid w:val="00141C95"/>
    <w:rsid w:val="00142643"/>
    <w:rsid w:val="001427F2"/>
    <w:rsid w:val="001435D7"/>
    <w:rsid w:val="00143ACD"/>
    <w:rsid w:val="00144988"/>
    <w:rsid w:val="0014543D"/>
    <w:rsid w:val="001467DF"/>
    <w:rsid w:val="00147472"/>
    <w:rsid w:val="00151001"/>
    <w:rsid w:val="001522F2"/>
    <w:rsid w:val="00152B4D"/>
    <w:rsid w:val="00152D01"/>
    <w:rsid w:val="00154A35"/>
    <w:rsid w:val="0016045C"/>
    <w:rsid w:val="001616CA"/>
    <w:rsid w:val="00166DC4"/>
    <w:rsid w:val="00167735"/>
    <w:rsid w:val="00171DF6"/>
    <w:rsid w:val="00171F61"/>
    <w:rsid w:val="0017362E"/>
    <w:rsid w:val="00173D56"/>
    <w:rsid w:val="0017409A"/>
    <w:rsid w:val="00174B7C"/>
    <w:rsid w:val="00175F84"/>
    <w:rsid w:val="001760EF"/>
    <w:rsid w:val="0018136B"/>
    <w:rsid w:val="00183CDA"/>
    <w:rsid w:val="00185E50"/>
    <w:rsid w:val="00186162"/>
    <w:rsid w:val="00190606"/>
    <w:rsid w:val="00190BE3"/>
    <w:rsid w:val="00190CC8"/>
    <w:rsid w:val="001922FB"/>
    <w:rsid w:val="00193FAD"/>
    <w:rsid w:val="00195C84"/>
    <w:rsid w:val="00195FC3"/>
    <w:rsid w:val="001A0ECD"/>
    <w:rsid w:val="001A1036"/>
    <w:rsid w:val="001A1E20"/>
    <w:rsid w:val="001A2412"/>
    <w:rsid w:val="001A2DBD"/>
    <w:rsid w:val="001A31F1"/>
    <w:rsid w:val="001B286E"/>
    <w:rsid w:val="001B2AA2"/>
    <w:rsid w:val="001B3EDB"/>
    <w:rsid w:val="001B6531"/>
    <w:rsid w:val="001C157D"/>
    <w:rsid w:val="001C1FBB"/>
    <w:rsid w:val="001C2122"/>
    <w:rsid w:val="001C3537"/>
    <w:rsid w:val="001C75BE"/>
    <w:rsid w:val="001C77D7"/>
    <w:rsid w:val="001D146C"/>
    <w:rsid w:val="001D2379"/>
    <w:rsid w:val="001D28A9"/>
    <w:rsid w:val="001D5882"/>
    <w:rsid w:val="001D75B1"/>
    <w:rsid w:val="001D79EB"/>
    <w:rsid w:val="001D7DC8"/>
    <w:rsid w:val="001E0E0E"/>
    <w:rsid w:val="001E16CA"/>
    <w:rsid w:val="001E1F05"/>
    <w:rsid w:val="001E335E"/>
    <w:rsid w:val="001E460F"/>
    <w:rsid w:val="001E52B3"/>
    <w:rsid w:val="001E7054"/>
    <w:rsid w:val="001F0FCE"/>
    <w:rsid w:val="001F110D"/>
    <w:rsid w:val="001F247D"/>
    <w:rsid w:val="001F2F5B"/>
    <w:rsid w:val="001F3A86"/>
    <w:rsid w:val="001F67EA"/>
    <w:rsid w:val="001F6D78"/>
    <w:rsid w:val="00200D97"/>
    <w:rsid w:val="00201C10"/>
    <w:rsid w:val="00201E35"/>
    <w:rsid w:val="002036EB"/>
    <w:rsid w:val="0020556E"/>
    <w:rsid w:val="00205BAE"/>
    <w:rsid w:val="0020601B"/>
    <w:rsid w:val="002108B1"/>
    <w:rsid w:val="00212811"/>
    <w:rsid w:val="00215A0C"/>
    <w:rsid w:val="00216CB2"/>
    <w:rsid w:val="00217524"/>
    <w:rsid w:val="002208A8"/>
    <w:rsid w:val="00221321"/>
    <w:rsid w:val="00222FCD"/>
    <w:rsid w:val="00223E7F"/>
    <w:rsid w:val="00225327"/>
    <w:rsid w:val="00226DFF"/>
    <w:rsid w:val="00227950"/>
    <w:rsid w:val="0023005D"/>
    <w:rsid w:val="0024026F"/>
    <w:rsid w:val="00240526"/>
    <w:rsid w:val="00240733"/>
    <w:rsid w:val="00240A83"/>
    <w:rsid w:val="00240AC5"/>
    <w:rsid w:val="00240EC8"/>
    <w:rsid w:val="0024162D"/>
    <w:rsid w:val="00251166"/>
    <w:rsid w:val="0025348A"/>
    <w:rsid w:val="00254C6F"/>
    <w:rsid w:val="00255C09"/>
    <w:rsid w:val="002560A7"/>
    <w:rsid w:val="00264378"/>
    <w:rsid w:val="00265324"/>
    <w:rsid w:val="002654FA"/>
    <w:rsid w:val="0026551A"/>
    <w:rsid w:val="0026671C"/>
    <w:rsid w:val="0027398D"/>
    <w:rsid w:val="00281899"/>
    <w:rsid w:val="0028237D"/>
    <w:rsid w:val="00283D56"/>
    <w:rsid w:val="002848DE"/>
    <w:rsid w:val="00284FB3"/>
    <w:rsid w:val="0028749D"/>
    <w:rsid w:val="00287C19"/>
    <w:rsid w:val="00290CEA"/>
    <w:rsid w:val="0029196F"/>
    <w:rsid w:val="00293630"/>
    <w:rsid w:val="002951AA"/>
    <w:rsid w:val="00296B5E"/>
    <w:rsid w:val="00297C7E"/>
    <w:rsid w:val="002A2687"/>
    <w:rsid w:val="002A30AA"/>
    <w:rsid w:val="002A4384"/>
    <w:rsid w:val="002A4AE4"/>
    <w:rsid w:val="002A4C87"/>
    <w:rsid w:val="002A7CA3"/>
    <w:rsid w:val="002B12DD"/>
    <w:rsid w:val="002B291B"/>
    <w:rsid w:val="002B2DED"/>
    <w:rsid w:val="002B2ECB"/>
    <w:rsid w:val="002B3874"/>
    <w:rsid w:val="002B3C4A"/>
    <w:rsid w:val="002B702F"/>
    <w:rsid w:val="002B7A83"/>
    <w:rsid w:val="002C0B8B"/>
    <w:rsid w:val="002C1B04"/>
    <w:rsid w:val="002C27AA"/>
    <w:rsid w:val="002C35F6"/>
    <w:rsid w:val="002C3FA4"/>
    <w:rsid w:val="002C5643"/>
    <w:rsid w:val="002C5E27"/>
    <w:rsid w:val="002D5696"/>
    <w:rsid w:val="002D6CE4"/>
    <w:rsid w:val="002D7B60"/>
    <w:rsid w:val="002E02A9"/>
    <w:rsid w:val="002E03FB"/>
    <w:rsid w:val="002E1977"/>
    <w:rsid w:val="002E3A3B"/>
    <w:rsid w:val="002E3B64"/>
    <w:rsid w:val="002E4E90"/>
    <w:rsid w:val="002E71B3"/>
    <w:rsid w:val="002F06FB"/>
    <w:rsid w:val="002F39A2"/>
    <w:rsid w:val="002F3C77"/>
    <w:rsid w:val="002F3F7F"/>
    <w:rsid w:val="002F4947"/>
    <w:rsid w:val="00301330"/>
    <w:rsid w:val="003028C4"/>
    <w:rsid w:val="0030349E"/>
    <w:rsid w:val="003042B5"/>
    <w:rsid w:val="00304D73"/>
    <w:rsid w:val="00307AC2"/>
    <w:rsid w:val="00310E11"/>
    <w:rsid w:val="00314251"/>
    <w:rsid w:val="003144C5"/>
    <w:rsid w:val="003148EF"/>
    <w:rsid w:val="00315701"/>
    <w:rsid w:val="00317402"/>
    <w:rsid w:val="003177BF"/>
    <w:rsid w:val="00317D76"/>
    <w:rsid w:val="0032135C"/>
    <w:rsid w:val="00321839"/>
    <w:rsid w:val="0032335C"/>
    <w:rsid w:val="00323AAB"/>
    <w:rsid w:val="00324111"/>
    <w:rsid w:val="0032491D"/>
    <w:rsid w:val="00324E3A"/>
    <w:rsid w:val="00325204"/>
    <w:rsid w:val="00326A75"/>
    <w:rsid w:val="00327D86"/>
    <w:rsid w:val="00331DC8"/>
    <w:rsid w:val="00331E81"/>
    <w:rsid w:val="00332522"/>
    <w:rsid w:val="00333900"/>
    <w:rsid w:val="00334C76"/>
    <w:rsid w:val="003375D2"/>
    <w:rsid w:val="00343D19"/>
    <w:rsid w:val="00343F4C"/>
    <w:rsid w:val="0034409E"/>
    <w:rsid w:val="0034430F"/>
    <w:rsid w:val="0034522D"/>
    <w:rsid w:val="00345821"/>
    <w:rsid w:val="00347522"/>
    <w:rsid w:val="003501F8"/>
    <w:rsid w:val="00351059"/>
    <w:rsid w:val="00351BFE"/>
    <w:rsid w:val="00351EDD"/>
    <w:rsid w:val="003521AB"/>
    <w:rsid w:val="00354C4A"/>
    <w:rsid w:val="00354F22"/>
    <w:rsid w:val="00355922"/>
    <w:rsid w:val="0035676A"/>
    <w:rsid w:val="00356921"/>
    <w:rsid w:val="00360ABA"/>
    <w:rsid w:val="00364E6F"/>
    <w:rsid w:val="0036631D"/>
    <w:rsid w:val="00367D00"/>
    <w:rsid w:val="003717EB"/>
    <w:rsid w:val="003746C3"/>
    <w:rsid w:val="0037591F"/>
    <w:rsid w:val="00375C4D"/>
    <w:rsid w:val="003766CB"/>
    <w:rsid w:val="0037695F"/>
    <w:rsid w:val="00377DC9"/>
    <w:rsid w:val="00380D5A"/>
    <w:rsid w:val="00382991"/>
    <w:rsid w:val="00382EBA"/>
    <w:rsid w:val="00386B5F"/>
    <w:rsid w:val="00387134"/>
    <w:rsid w:val="00390AF4"/>
    <w:rsid w:val="0039109E"/>
    <w:rsid w:val="003919C6"/>
    <w:rsid w:val="00391F32"/>
    <w:rsid w:val="0039331C"/>
    <w:rsid w:val="00393E17"/>
    <w:rsid w:val="0039569D"/>
    <w:rsid w:val="003A0FB4"/>
    <w:rsid w:val="003A2C9A"/>
    <w:rsid w:val="003A7491"/>
    <w:rsid w:val="003B0C76"/>
    <w:rsid w:val="003B13F8"/>
    <w:rsid w:val="003B1E8F"/>
    <w:rsid w:val="003B4254"/>
    <w:rsid w:val="003B4304"/>
    <w:rsid w:val="003B5979"/>
    <w:rsid w:val="003B6789"/>
    <w:rsid w:val="003B7CB1"/>
    <w:rsid w:val="003C2A99"/>
    <w:rsid w:val="003C4F2D"/>
    <w:rsid w:val="003C5F26"/>
    <w:rsid w:val="003D0F53"/>
    <w:rsid w:val="003D287C"/>
    <w:rsid w:val="003D3999"/>
    <w:rsid w:val="003D7A7F"/>
    <w:rsid w:val="003E1795"/>
    <w:rsid w:val="003E3A6A"/>
    <w:rsid w:val="003E44F4"/>
    <w:rsid w:val="003E5FD3"/>
    <w:rsid w:val="003E7E11"/>
    <w:rsid w:val="003F0938"/>
    <w:rsid w:val="003F2355"/>
    <w:rsid w:val="003F3599"/>
    <w:rsid w:val="003F3965"/>
    <w:rsid w:val="003F50CF"/>
    <w:rsid w:val="003F762E"/>
    <w:rsid w:val="003F7A1D"/>
    <w:rsid w:val="003F7FDA"/>
    <w:rsid w:val="00400E7E"/>
    <w:rsid w:val="00401128"/>
    <w:rsid w:val="00401DDB"/>
    <w:rsid w:val="00403FB5"/>
    <w:rsid w:val="004060B4"/>
    <w:rsid w:val="00407239"/>
    <w:rsid w:val="004074D2"/>
    <w:rsid w:val="004077CB"/>
    <w:rsid w:val="00407E1E"/>
    <w:rsid w:val="00412FA4"/>
    <w:rsid w:val="004224F5"/>
    <w:rsid w:val="004225A0"/>
    <w:rsid w:val="00423820"/>
    <w:rsid w:val="00425901"/>
    <w:rsid w:val="0042616E"/>
    <w:rsid w:val="00426EC7"/>
    <w:rsid w:val="00432878"/>
    <w:rsid w:val="004334BB"/>
    <w:rsid w:val="0043419D"/>
    <w:rsid w:val="004346C4"/>
    <w:rsid w:val="004351D7"/>
    <w:rsid w:val="004352F7"/>
    <w:rsid w:val="00435DF4"/>
    <w:rsid w:val="004368E7"/>
    <w:rsid w:val="00437DE2"/>
    <w:rsid w:val="00444125"/>
    <w:rsid w:val="004463EC"/>
    <w:rsid w:val="00446B51"/>
    <w:rsid w:val="004475B0"/>
    <w:rsid w:val="004501D0"/>
    <w:rsid w:val="00450A67"/>
    <w:rsid w:val="00451B9F"/>
    <w:rsid w:val="00451ECC"/>
    <w:rsid w:val="00455DCD"/>
    <w:rsid w:val="00460832"/>
    <w:rsid w:val="00461112"/>
    <w:rsid w:val="0046287B"/>
    <w:rsid w:val="00463760"/>
    <w:rsid w:val="00463F08"/>
    <w:rsid w:val="00463F19"/>
    <w:rsid w:val="004653D2"/>
    <w:rsid w:val="00465CAA"/>
    <w:rsid w:val="004700A4"/>
    <w:rsid w:val="004709AC"/>
    <w:rsid w:val="00473B0B"/>
    <w:rsid w:val="00474498"/>
    <w:rsid w:val="004760C1"/>
    <w:rsid w:val="0047688B"/>
    <w:rsid w:val="004772C9"/>
    <w:rsid w:val="00480D83"/>
    <w:rsid w:val="00480E3D"/>
    <w:rsid w:val="00481716"/>
    <w:rsid w:val="00482395"/>
    <w:rsid w:val="0048313F"/>
    <w:rsid w:val="00484319"/>
    <w:rsid w:val="00484DBC"/>
    <w:rsid w:val="004854D4"/>
    <w:rsid w:val="00487B30"/>
    <w:rsid w:val="00490747"/>
    <w:rsid w:val="00490D77"/>
    <w:rsid w:val="00491186"/>
    <w:rsid w:val="00493EA9"/>
    <w:rsid w:val="00496F77"/>
    <w:rsid w:val="0049750D"/>
    <w:rsid w:val="004A03B2"/>
    <w:rsid w:val="004A1350"/>
    <w:rsid w:val="004A16D7"/>
    <w:rsid w:val="004A1B96"/>
    <w:rsid w:val="004A45EE"/>
    <w:rsid w:val="004A4638"/>
    <w:rsid w:val="004B0C5F"/>
    <w:rsid w:val="004B1629"/>
    <w:rsid w:val="004B4E75"/>
    <w:rsid w:val="004B5CAA"/>
    <w:rsid w:val="004B5E31"/>
    <w:rsid w:val="004B6212"/>
    <w:rsid w:val="004B691B"/>
    <w:rsid w:val="004B7446"/>
    <w:rsid w:val="004B7BD7"/>
    <w:rsid w:val="004C26B5"/>
    <w:rsid w:val="004C4E1F"/>
    <w:rsid w:val="004C529A"/>
    <w:rsid w:val="004C58BD"/>
    <w:rsid w:val="004C5A7C"/>
    <w:rsid w:val="004C72D8"/>
    <w:rsid w:val="004D09B4"/>
    <w:rsid w:val="004D0BE0"/>
    <w:rsid w:val="004D18DE"/>
    <w:rsid w:val="004D3419"/>
    <w:rsid w:val="004D7ECE"/>
    <w:rsid w:val="004E18BF"/>
    <w:rsid w:val="004E31EE"/>
    <w:rsid w:val="004E62F8"/>
    <w:rsid w:val="004E74A3"/>
    <w:rsid w:val="004F00A1"/>
    <w:rsid w:val="004F0456"/>
    <w:rsid w:val="004F0E8B"/>
    <w:rsid w:val="004F1608"/>
    <w:rsid w:val="004F233D"/>
    <w:rsid w:val="004F3289"/>
    <w:rsid w:val="004F3737"/>
    <w:rsid w:val="004F5699"/>
    <w:rsid w:val="004F5BE1"/>
    <w:rsid w:val="004F6235"/>
    <w:rsid w:val="004F6EE9"/>
    <w:rsid w:val="004F7E91"/>
    <w:rsid w:val="005028FF"/>
    <w:rsid w:val="00503DE5"/>
    <w:rsid w:val="00505D34"/>
    <w:rsid w:val="00507137"/>
    <w:rsid w:val="005074D6"/>
    <w:rsid w:val="00511135"/>
    <w:rsid w:val="00512FD2"/>
    <w:rsid w:val="00516B1C"/>
    <w:rsid w:val="0051766B"/>
    <w:rsid w:val="00520E0C"/>
    <w:rsid w:val="00523BCC"/>
    <w:rsid w:val="005242B3"/>
    <w:rsid w:val="0052536C"/>
    <w:rsid w:val="00526539"/>
    <w:rsid w:val="0052689A"/>
    <w:rsid w:val="00530AE9"/>
    <w:rsid w:val="00532735"/>
    <w:rsid w:val="0053526E"/>
    <w:rsid w:val="005375A7"/>
    <w:rsid w:val="005377B6"/>
    <w:rsid w:val="00537B68"/>
    <w:rsid w:val="00540203"/>
    <w:rsid w:val="0054056A"/>
    <w:rsid w:val="00541278"/>
    <w:rsid w:val="0054151A"/>
    <w:rsid w:val="00542CDF"/>
    <w:rsid w:val="00542DDF"/>
    <w:rsid w:val="00544062"/>
    <w:rsid w:val="0054727D"/>
    <w:rsid w:val="00552148"/>
    <w:rsid w:val="005527D0"/>
    <w:rsid w:val="0055634E"/>
    <w:rsid w:val="0055651E"/>
    <w:rsid w:val="005570E2"/>
    <w:rsid w:val="0055718B"/>
    <w:rsid w:val="00560686"/>
    <w:rsid w:val="00561F54"/>
    <w:rsid w:val="005636F6"/>
    <w:rsid w:val="00564562"/>
    <w:rsid w:val="005669FC"/>
    <w:rsid w:val="00567696"/>
    <w:rsid w:val="00567DBB"/>
    <w:rsid w:val="0057128A"/>
    <w:rsid w:val="00575DC0"/>
    <w:rsid w:val="00577299"/>
    <w:rsid w:val="00577789"/>
    <w:rsid w:val="005805F6"/>
    <w:rsid w:val="0058100B"/>
    <w:rsid w:val="00581E53"/>
    <w:rsid w:val="00582DB4"/>
    <w:rsid w:val="00583701"/>
    <w:rsid w:val="0058524C"/>
    <w:rsid w:val="0058665F"/>
    <w:rsid w:val="0058669C"/>
    <w:rsid w:val="00591B77"/>
    <w:rsid w:val="00591F63"/>
    <w:rsid w:val="005950BF"/>
    <w:rsid w:val="00596F95"/>
    <w:rsid w:val="005A1680"/>
    <w:rsid w:val="005A4571"/>
    <w:rsid w:val="005A7B5C"/>
    <w:rsid w:val="005A7BF0"/>
    <w:rsid w:val="005B1967"/>
    <w:rsid w:val="005B2B20"/>
    <w:rsid w:val="005B4EF3"/>
    <w:rsid w:val="005B4FB5"/>
    <w:rsid w:val="005B6140"/>
    <w:rsid w:val="005B7371"/>
    <w:rsid w:val="005B77B6"/>
    <w:rsid w:val="005C0582"/>
    <w:rsid w:val="005C0758"/>
    <w:rsid w:val="005C5DED"/>
    <w:rsid w:val="005C6F76"/>
    <w:rsid w:val="005D00CC"/>
    <w:rsid w:val="005D0218"/>
    <w:rsid w:val="005D0C05"/>
    <w:rsid w:val="005D2DE2"/>
    <w:rsid w:val="005D4898"/>
    <w:rsid w:val="005D65AE"/>
    <w:rsid w:val="005D7AD4"/>
    <w:rsid w:val="005E0CA8"/>
    <w:rsid w:val="005E1BCA"/>
    <w:rsid w:val="005E4A59"/>
    <w:rsid w:val="005E5116"/>
    <w:rsid w:val="005E53E9"/>
    <w:rsid w:val="005E76AB"/>
    <w:rsid w:val="005F1354"/>
    <w:rsid w:val="005F418C"/>
    <w:rsid w:val="005F4F70"/>
    <w:rsid w:val="005F62DB"/>
    <w:rsid w:val="005F77C2"/>
    <w:rsid w:val="005F7E95"/>
    <w:rsid w:val="00600A9C"/>
    <w:rsid w:val="006014FF"/>
    <w:rsid w:val="00603F9A"/>
    <w:rsid w:val="0060534E"/>
    <w:rsid w:val="00605855"/>
    <w:rsid w:val="0060788F"/>
    <w:rsid w:val="00607DB6"/>
    <w:rsid w:val="00614E12"/>
    <w:rsid w:val="00615A39"/>
    <w:rsid w:val="006210CD"/>
    <w:rsid w:val="00621D88"/>
    <w:rsid w:val="0062377A"/>
    <w:rsid w:val="00623F84"/>
    <w:rsid w:val="00624062"/>
    <w:rsid w:val="0062426A"/>
    <w:rsid w:val="00624D2B"/>
    <w:rsid w:val="0062557C"/>
    <w:rsid w:val="0063185C"/>
    <w:rsid w:val="00631915"/>
    <w:rsid w:val="00632428"/>
    <w:rsid w:val="0063259F"/>
    <w:rsid w:val="00634F61"/>
    <w:rsid w:val="00637459"/>
    <w:rsid w:val="0064092C"/>
    <w:rsid w:val="00640C7F"/>
    <w:rsid w:val="00641BCA"/>
    <w:rsid w:val="00644AED"/>
    <w:rsid w:val="00645F7F"/>
    <w:rsid w:val="006464E8"/>
    <w:rsid w:val="00651635"/>
    <w:rsid w:val="00651832"/>
    <w:rsid w:val="006518E7"/>
    <w:rsid w:val="006520EF"/>
    <w:rsid w:val="0065222F"/>
    <w:rsid w:val="0065486E"/>
    <w:rsid w:val="00654A81"/>
    <w:rsid w:val="00655E2A"/>
    <w:rsid w:val="00655E4E"/>
    <w:rsid w:val="00657526"/>
    <w:rsid w:val="00660B61"/>
    <w:rsid w:val="006613BE"/>
    <w:rsid w:val="00661C5B"/>
    <w:rsid w:val="006659E3"/>
    <w:rsid w:val="00666925"/>
    <w:rsid w:val="00667E82"/>
    <w:rsid w:val="0067294A"/>
    <w:rsid w:val="006749DE"/>
    <w:rsid w:val="00675DAD"/>
    <w:rsid w:val="0068622A"/>
    <w:rsid w:val="006867A1"/>
    <w:rsid w:val="00686F26"/>
    <w:rsid w:val="00687290"/>
    <w:rsid w:val="006876F3"/>
    <w:rsid w:val="00692A5A"/>
    <w:rsid w:val="0069312E"/>
    <w:rsid w:val="0069360B"/>
    <w:rsid w:val="00695116"/>
    <w:rsid w:val="006972AA"/>
    <w:rsid w:val="00697A96"/>
    <w:rsid w:val="006A02BC"/>
    <w:rsid w:val="006A39BF"/>
    <w:rsid w:val="006A5237"/>
    <w:rsid w:val="006A576F"/>
    <w:rsid w:val="006A5A37"/>
    <w:rsid w:val="006A5EE6"/>
    <w:rsid w:val="006A6EAF"/>
    <w:rsid w:val="006A75F3"/>
    <w:rsid w:val="006A794F"/>
    <w:rsid w:val="006B0BFC"/>
    <w:rsid w:val="006B18C9"/>
    <w:rsid w:val="006B53F5"/>
    <w:rsid w:val="006B6426"/>
    <w:rsid w:val="006B7A7A"/>
    <w:rsid w:val="006B7E6E"/>
    <w:rsid w:val="006C0462"/>
    <w:rsid w:val="006C1A7E"/>
    <w:rsid w:val="006C21D9"/>
    <w:rsid w:val="006C241A"/>
    <w:rsid w:val="006C4B51"/>
    <w:rsid w:val="006C5550"/>
    <w:rsid w:val="006D03B0"/>
    <w:rsid w:val="006D062E"/>
    <w:rsid w:val="006D0753"/>
    <w:rsid w:val="006D0E54"/>
    <w:rsid w:val="006D2283"/>
    <w:rsid w:val="006D2735"/>
    <w:rsid w:val="006D2A28"/>
    <w:rsid w:val="006D2B32"/>
    <w:rsid w:val="006D2F97"/>
    <w:rsid w:val="006D3AC2"/>
    <w:rsid w:val="006D4F8C"/>
    <w:rsid w:val="006D57EF"/>
    <w:rsid w:val="006D6796"/>
    <w:rsid w:val="006E1427"/>
    <w:rsid w:val="006E1A2E"/>
    <w:rsid w:val="006E2181"/>
    <w:rsid w:val="006E23F0"/>
    <w:rsid w:val="006E39CA"/>
    <w:rsid w:val="006E3A31"/>
    <w:rsid w:val="006E3D30"/>
    <w:rsid w:val="006E486D"/>
    <w:rsid w:val="006E5F17"/>
    <w:rsid w:val="006E709C"/>
    <w:rsid w:val="006E73CF"/>
    <w:rsid w:val="006E7AC8"/>
    <w:rsid w:val="006F0EF5"/>
    <w:rsid w:val="006F2688"/>
    <w:rsid w:val="006F4029"/>
    <w:rsid w:val="006F43D8"/>
    <w:rsid w:val="006F7606"/>
    <w:rsid w:val="006F7FE1"/>
    <w:rsid w:val="00701924"/>
    <w:rsid w:val="00702A50"/>
    <w:rsid w:val="00706474"/>
    <w:rsid w:val="007064ED"/>
    <w:rsid w:val="00706F6B"/>
    <w:rsid w:val="0071042E"/>
    <w:rsid w:val="0071175F"/>
    <w:rsid w:val="00711D95"/>
    <w:rsid w:val="00712969"/>
    <w:rsid w:val="00713722"/>
    <w:rsid w:val="00714DB8"/>
    <w:rsid w:val="007158FB"/>
    <w:rsid w:val="0071721E"/>
    <w:rsid w:val="00722E61"/>
    <w:rsid w:val="00723153"/>
    <w:rsid w:val="0072389D"/>
    <w:rsid w:val="0072401A"/>
    <w:rsid w:val="007244A4"/>
    <w:rsid w:val="00725176"/>
    <w:rsid w:val="00725D1B"/>
    <w:rsid w:val="00725F4A"/>
    <w:rsid w:val="00726AD8"/>
    <w:rsid w:val="007318FD"/>
    <w:rsid w:val="00732D97"/>
    <w:rsid w:val="007332D5"/>
    <w:rsid w:val="00733A20"/>
    <w:rsid w:val="00733BE0"/>
    <w:rsid w:val="0073690B"/>
    <w:rsid w:val="00736F55"/>
    <w:rsid w:val="00737C67"/>
    <w:rsid w:val="00741ABD"/>
    <w:rsid w:val="00742C21"/>
    <w:rsid w:val="0074350D"/>
    <w:rsid w:val="00744888"/>
    <w:rsid w:val="00747EAE"/>
    <w:rsid w:val="0075107E"/>
    <w:rsid w:val="007510DA"/>
    <w:rsid w:val="00753C2B"/>
    <w:rsid w:val="00756C46"/>
    <w:rsid w:val="007611ED"/>
    <w:rsid w:val="00762FC6"/>
    <w:rsid w:val="00763206"/>
    <w:rsid w:val="00764B3C"/>
    <w:rsid w:val="00765587"/>
    <w:rsid w:val="0076581C"/>
    <w:rsid w:val="00772CE2"/>
    <w:rsid w:val="00775CAB"/>
    <w:rsid w:val="007763A4"/>
    <w:rsid w:val="00780653"/>
    <w:rsid w:val="00781A60"/>
    <w:rsid w:val="00781E29"/>
    <w:rsid w:val="00782FC7"/>
    <w:rsid w:val="007833EC"/>
    <w:rsid w:val="0078385D"/>
    <w:rsid w:val="0078391A"/>
    <w:rsid w:val="00785152"/>
    <w:rsid w:val="007859B8"/>
    <w:rsid w:val="007863D7"/>
    <w:rsid w:val="007864F7"/>
    <w:rsid w:val="007871E1"/>
    <w:rsid w:val="00787455"/>
    <w:rsid w:val="0079147E"/>
    <w:rsid w:val="00791E0A"/>
    <w:rsid w:val="00793D44"/>
    <w:rsid w:val="007958B1"/>
    <w:rsid w:val="00795F00"/>
    <w:rsid w:val="00796CE6"/>
    <w:rsid w:val="0079737F"/>
    <w:rsid w:val="007A14A8"/>
    <w:rsid w:val="007A532F"/>
    <w:rsid w:val="007A57DB"/>
    <w:rsid w:val="007A58A9"/>
    <w:rsid w:val="007A6EAA"/>
    <w:rsid w:val="007A7F7E"/>
    <w:rsid w:val="007B02F6"/>
    <w:rsid w:val="007B1AB7"/>
    <w:rsid w:val="007B201A"/>
    <w:rsid w:val="007B2B92"/>
    <w:rsid w:val="007B59C2"/>
    <w:rsid w:val="007C07B4"/>
    <w:rsid w:val="007C11C8"/>
    <w:rsid w:val="007C202E"/>
    <w:rsid w:val="007C265B"/>
    <w:rsid w:val="007C2974"/>
    <w:rsid w:val="007C5C1F"/>
    <w:rsid w:val="007C7504"/>
    <w:rsid w:val="007C7547"/>
    <w:rsid w:val="007D0975"/>
    <w:rsid w:val="007D44DF"/>
    <w:rsid w:val="007D5791"/>
    <w:rsid w:val="007D740C"/>
    <w:rsid w:val="007D7950"/>
    <w:rsid w:val="007E0010"/>
    <w:rsid w:val="007E0680"/>
    <w:rsid w:val="007E415D"/>
    <w:rsid w:val="007E6E94"/>
    <w:rsid w:val="007E6F83"/>
    <w:rsid w:val="007F0042"/>
    <w:rsid w:val="007F01B7"/>
    <w:rsid w:val="007F2DF3"/>
    <w:rsid w:val="007F3704"/>
    <w:rsid w:val="007F57F3"/>
    <w:rsid w:val="00800F16"/>
    <w:rsid w:val="00802881"/>
    <w:rsid w:val="00803687"/>
    <w:rsid w:val="008048AB"/>
    <w:rsid w:val="00806360"/>
    <w:rsid w:val="00806C29"/>
    <w:rsid w:val="00806E02"/>
    <w:rsid w:val="008103B5"/>
    <w:rsid w:val="00810843"/>
    <w:rsid w:val="00811007"/>
    <w:rsid w:val="00814086"/>
    <w:rsid w:val="00815890"/>
    <w:rsid w:val="00815A86"/>
    <w:rsid w:val="00815EA9"/>
    <w:rsid w:val="00815FCB"/>
    <w:rsid w:val="008177D8"/>
    <w:rsid w:val="008179FB"/>
    <w:rsid w:val="00817E68"/>
    <w:rsid w:val="008206F6"/>
    <w:rsid w:val="00821A4E"/>
    <w:rsid w:val="00822C87"/>
    <w:rsid w:val="0082397A"/>
    <w:rsid w:val="008300A0"/>
    <w:rsid w:val="00831088"/>
    <w:rsid w:val="00831A68"/>
    <w:rsid w:val="00836C3D"/>
    <w:rsid w:val="00840124"/>
    <w:rsid w:val="008403D3"/>
    <w:rsid w:val="0084074D"/>
    <w:rsid w:val="00841CCF"/>
    <w:rsid w:val="00841FBB"/>
    <w:rsid w:val="0084268F"/>
    <w:rsid w:val="00844E21"/>
    <w:rsid w:val="008456B4"/>
    <w:rsid w:val="008471D2"/>
    <w:rsid w:val="00847C80"/>
    <w:rsid w:val="00852EA6"/>
    <w:rsid w:val="00855825"/>
    <w:rsid w:val="00856455"/>
    <w:rsid w:val="00857088"/>
    <w:rsid w:val="0086036D"/>
    <w:rsid w:val="00861067"/>
    <w:rsid w:val="00862536"/>
    <w:rsid w:val="00863858"/>
    <w:rsid w:val="00864905"/>
    <w:rsid w:val="00865E27"/>
    <w:rsid w:val="00870E64"/>
    <w:rsid w:val="00871336"/>
    <w:rsid w:val="00872C3C"/>
    <w:rsid w:val="00873A14"/>
    <w:rsid w:val="008745D7"/>
    <w:rsid w:val="00876513"/>
    <w:rsid w:val="00880316"/>
    <w:rsid w:val="00880478"/>
    <w:rsid w:val="00880A72"/>
    <w:rsid w:val="008814B8"/>
    <w:rsid w:val="008814EC"/>
    <w:rsid w:val="00882935"/>
    <w:rsid w:val="008831BD"/>
    <w:rsid w:val="008840BB"/>
    <w:rsid w:val="00886ED4"/>
    <w:rsid w:val="00887B40"/>
    <w:rsid w:val="00892862"/>
    <w:rsid w:val="00895EDC"/>
    <w:rsid w:val="0089630D"/>
    <w:rsid w:val="008965D0"/>
    <w:rsid w:val="00896E82"/>
    <w:rsid w:val="008A0214"/>
    <w:rsid w:val="008A0717"/>
    <w:rsid w:val="008A1029"/>
    <w:rsid w:val="008A10D0"/>
    <w:rsid w:val="008A3221"/>
    <w:rsid w:val="008A52AE"/>
    <w:rsid w:val="008A58C9"/>
    <w:rsid w:val="008A687D"/>
    <w:rsid w:val="008A6984"/>
    <w:rsid w:val="008A7247"/>
    <w:rsid w:val="008B0862"/>
    <w:rsid w:val="008B14B8"/>
    <w:rsid w:val="008B3080"/>
    <w:rsid w:val="008B47C6"/>
    <w:rsid w:val="008B549D"/>
    <w:rsid w:val="008B6B20"/>
    <w:rsid w:val="008B784E"/>
    <w:rsid w:val="008C0DBA"/>
    <w:rsid w:val="008C0E06"/>
    <w:rsid w:val="008C424C"/>
    <w:rsid w:val="008C47E3"/>
    <w:rsid w:val="008C5221"/>
    <w:rsid w:val="008C6DDB"/>
    <w:rsid w:val="008C7459"/>
    <w:rsid w:val="008D09B8"/>
    <w:rsid w:val="008D1B5A"/>
    <w:rsid w:val="008D1F91"/>
    <w:rsid w:val="008D21A1"/>
    <w:rsid w:val="008D31E1"/>
    <w:rsid w:val="008D336F"/>
    <w:rsid w:val="008D38DE"/>
    <w:rsid w:val="008D400E"/>
    <w:rsid w:val="008D6358"/>
    <w:rsid w:val="008D68AE"/>
    <w:rsid w:val="008D6D32"/>
    <w:rsid w:val="008D7F4A"/>
    <w:rsid w:val="008E02C3"/>
    <w:rsid w:val="008E2E05"/>
    <w:rsid w:val="008E32B2"/>
    <w:rsid w:val="008E41ED"/>
    <w:rsid w:val="008E59D3"/>
    <w:rsid w:val="008E6294"/>
    <w:rsid w:val="008E7BAD"/>
    <w:rsid w:val="008F0A98"/>
    <w:rsid w:val="008F0C73"/>
    <w:rsid w:val="008F1FE8"/>
    <w:rsid w:val="008F3470"/>
    <w:rsid w:val="008F52F2"/>
    <w:rsid w:val="008F5965"/>
    <w:rsid w:val="0090023B"/>
    <w:rsid w:val="00900FA8"/>
    <w:rsid w:val="00901054"/>
    <w:rsid w:val="00902EBD"/>
    <w:rsid w:val="00904A3A"/>
    <w:rsid w:val="00905AC1"/>
    <w:rsid w:val="0090613E"/>
    <w:rsid w:val="00906DA7"/>
    <w:rsid w:val="00906FF6"/>
    <w:rsid w:val="0090786C"/>
    <w:rsid w:val="009107BF"/>
    <w:rsid w:val="0091249B"/>
    <w:rsid w:val="00912C1B"/>
    <w:rsid w:val="00914FAE"/>
    <w:rsid w:val="00916783"/>
    <w:rsid w:val="00916B62"/>
    <w:rsid w:val="00917298"/>
    <w:rsid w:val="00920673"/>
    <w:rsid w:val="00922CFD"/>
    <w:rsid w:val="00923621"/>
    <w:rsid w:val="009249D2"/>
    <w:rsid w:val="00925686"/>
    <w:rsid w:val="00931647"/>
    <w:rsid w:val="00932CFE"/>
    <w:rsid w:val="00932F37"/>
    <w:rsid w:val="0093358E"/>
    <w:rsid w:val="0093398C"/>
    <w:rsid w:val="00937A13"/>
    <w:rsid w:val="009423F8"/>
    <w:rsid w:val="00942920"/>
    <w:rsid w:val="0094476C"/>
    <w:rsid w:val="00944E1F"/>
    <w:rsid w:val="00945A8A"/>
    <w:rsid w:val="00945C0B"/>
    <w:rsid w:val="00945C99"/>
    <w:rsid w:val="00947723"/>
    <w:rsid w:val="00947F8F"/>
    <w:rsid w:val="00950187"/>
    <w:rsid w:val="009504FA"/>
    <w:rsid w:val="0095060D"/>
    <w:rsid w:val="00951587"/>
    <w:rsid w:val="00951BDC"/>
    <w:rsid w:val="00953322"/>
    <w:rsid w:val="00954B33"/>
    <w:rsid w:val="009608B4"/>
    <w:rsid w:val="00963839"/>
    <w:rsid w:val="009648B2"/>
    <w:rsid w:val="009649C0"/>
    <w:rsid w:val="0097131F"/>
    <w:rsid w:val="0097225F"/>
    <w:rsid w:val="00973C5F"/>
    <w:rsid w:val="00974634"/>
    <w:rsid w:val="00974E77"/>
    <w:rsid w:val="009822D9"/>
    <w:rsid w:val="00982602"/>
    <w:rsid w:val="00985DB2"/>
    <w:rsid w:val="00986C70"/>
    <w:rsid w:val="00987605"/>
    <w:rsid w:val="0099059E"/>
    <w:rsid w:val="00990ED5"/>
    <w:rsid w:val="0099292C"/>
    <w:rsid w:val="009931F2"/>
    <w:rsid w:val="0099470B"/>
    <w:rsid w:val="00994C6B"/>
    <w:rsid w:val="00994F4A"/>
    <w:rsid w:val="00996302"/>
    <w:rsid w:val="00997BD5"/>
    <w:rsid w:val="00997E84"/>
    <w:rsid w:val="009A2983"/>
    <w:rsid w:val="009A29BF"/>
    <w:rsid w:val="009A2C3A"/>
    <w:rsid w:val="009A5546"/>
    <w:rsid w:val="009A63D4"/>
    <w:rsid w:val="009A67A5"/>
    <w:rsid w:val="009A68A9"/>
    <w:rsid w:val="009A78CC"/>
    <w:rsid w:val="009A7A14"/>
    <w:rsid w:val="009B23AF"/>
    <w:rsid w:val="009B2D76"/>
    <w:rsid w:val="009B3344"/>
    <w:rsid w:val="009B3346"/>
    <w:rsid w:val="009B383F"/>
    <w:rsid w:val="009B396E"/>
    <w:rsid w:val="009B7C4F"/>
    <w:rsid w:val="009C0162"/>
    <w:rsid w:val="009C080A"/>
    <w:rsid w:val="009C126B"/>
    <w:rsid w:val="009C15C5"/>
    <w:rsid w:val="009C1ADE"/>
    <w:rsid w:val="009C7DE8"/>
    <w:rsid w:val="009C7EEC"/>
    <w:rsid w:val="009C7F3E"/>
    <w:rsid w:val="009D073E"/>
    <w:rsid w:val="009D1191"/>
    <w:rsid w:val="009D1473"/>
    <w:rsid w:val="009D3529"/>
    <w:rsid w:val="009D49FF"/>
    <w:rsid w:val="009D61F2"/>
    <w:rsid w:val="009E0FA4"/>
    <w:rsid w:val="009E51B3"/>
    <w:rsid w:val="009E6C83"/>
    <w:rsid w:val="009E7404"/>
    <w:rsid w:val="009F090B"/>
    <w:rsid w:val="009F18DE"/>
    <w:rsid w:val="009F1EEB"/>
    <w:rsid w:val="009F2756"/>
    <w:rsid w:val="009F2F68"/>
    <w:rsid w:val="009F4EDC"/>
    <w:rsid w:val="009F618A"/>
    <w:rsid w:val="00A019D4"/>
    <w:rsid w:val="00A03939"/>
    <w:rsid w:val="00A10285"/>
    <w:rsid w:val="00A10383"/>
    <w:rsid w:val="00A1094E"/>
    <w:rsid w:val="00A137D5"/>
    <w:rsid w:val="00A15C35"/>
    <w:rsid w:val="00A16053"/>
    <w:rsid w:val="00A1628A"/>
    <w:rsid w:val="00A162AE"/>
    <w:rsid w:val="00A17B87"/>
    <w:rsid w:val="00A215B4"/>
    <w:rsid w:val="00A269BA"/>
    <w:rsid w:val="00A2761F"/>
    <w:rsid w:val="00A30981"/>
    <w:rsid w:val="00A31ED9"/>
    <w:rsid w:val="00A32E9A"/>
    <w:rsid w:val="00A3310B"/>
    <w:rsid w:val="00A33CCF"/>
    <w:rsid w:val="00A3487E"/>
    <w:rsid w:val="00A37135"/>
    <w:rsid w:val="00A403FE"/>
    <w:rsid w:val="00A40D78"/>
    <w:rsid w:val="00A422B2"/>
    <w:rsid w:val="00A445FD"/>
    <w:rsid w:val="00A44866"/>
    <w:rsid w:val="00A44932"/>
    <w:rsid w:val="00A47877"/>
    <w:rsid w:val="00A47936"/>
    <w:rsid w:val="00A51138"/>
    <w:rsid w:val="00A51942"/>
    <w:rsid w:val="00A52513"/>
    <w:rsid w:val="00A5330A"/>
    <w:rsid w:val="00A53907"/>
    <w:rsid w:val="00A53FB5"/>
    <w:rsid w:val="00A5433D"/>
    <w:rsid w:val="00A54FD0"/>
    <w:rsid w:val="00A55DFD"/>
    <w:rsid w:val="00A573A7"/>
    <w:rsid w:val="00A574C7"/>
    <w:rsid w:val="00A616A5"/>
    <w:rsid w:val="00A624ED"/>
    <w:rsid w:val="00A63186"/>
    <w:rsid w:val="00A63EE5"/>
    <w:rsid w:val="00A6579B"/>
    <w:rsid w:val="00A70B92"/>
    <w:rsid w:val="00A71312"/>
    <w:rsid w:val="00A72BCF"/>
    <w:rsid w:val="00A7404F"/>
    <w:rsid w:val="00A74C88"/>
    <w:rsid w:val="00A75069"/>
    <w:rsid w:val="00A7578D"/>
    <w:rsid w:val="00A761CE"/>
    <w:rsid w:val="00A778F2"/>
    <w:rsid w:val="00A802C1"/>
    <w:rsid w:val="00A814BA"/>
    <w:rsid w:val="00A8306F"/>
    <w:rsid w:val="00A831AD"/>
    <w:rsid w:val="00A836EF"/>
    <w:rsid w:val="00A84CE4"/>
    <w:rsid w:val="00A87154"/>
    <w:rsid w:val="00A92BD7"/>
    <w:rsid w:val="00A96CB7"/>
    <w:rsid w:val="00AA27BF"/>
    <w:rsid w:val="00AA2AAF"/>
    <w:rsid w:val="00AA6169"/>
    <w:rsid w:val="00AB1458"/>
    <w:rsid w:val="00AB2856"/>
    <w:rsid w:val="00AB3276"/>
    <w:rsid w:val="00AB368D"/>
    <w:rsid w:val="00AB46DF"/>
    <w:rsid w:val="00AB47DC"/>
    <w:rsid w:val="00AB5A16"/>
    <w:rsid w:val="00AB6EF4"/>
    <w:rsid w:val="00AB7232"/>
    <w:rsid w:val="00AC02D9"/>
    <w:rsid w:val="00AC071B"/>
    <w:rsid w:val="00AC0B11"/>
    <w:rsid w:val="00AC233B"/>
    <w:rsid w:val="00AC25E0"/>
    <w:rsid w:val="00AC2881"/>
    <w:rsid w:val="00AC3299"/>
    <w:rsid w:val="00AC3588"/>
    <w:rsid w:val="00AC3DC6"/>
    <w:rsid w:val="00AC5789"/>
    <w:rsid w:val="00AC58E7"/>
    <w:rsid w:val="00AC67DB"/>
    <w:rsid w:val="00AC7439"/>
    <w:rsid w:val="00AC7690"/>
    <w:rsid w:val="00AD02FC"/>
    <w:rsid w:val="00AD274D"/>
    <w:rsid w:val="00AD4BF7"/>
    <w:rsid w:val="00AD4CCE"/>
    <w:rsid w:val="00AD4F29"/>
    <w:rsid w:val="00AD5428"/>
    <w:rsid w:val="00AE02C7"/>
    <w:rsid w:val="00AE1032"/>
    <w:rsid w:val="00AE3EE2"/>
    <w:rsid w:val="00AE4660"/>
    <w:rsid w:val="00AE7855"/>
    <w:rsid w:val="00AF01C2"/>
    <w:rsid w:val="00AF0B11"/>
    <w:rsid w:val="00AF0FCC"/>
    <w:rsid w:val="00AF1DF2"/>
    <w:rsid w:val="00AF2057"/>
    <w:rsid w:val="00AF69B0"/>
    <w:rsid w:val="00B020C7"/>
    <w:rsid w:val="00B03220"/>
    <w:rsid w:val="00B05DC5"/>
    <w:rsid w:val="00B1064C"/>
    <w:rsid w:val="00B10C21"/>
    <w:rsid w:val="00B115EA"/>
    <w:rsid w:val="00B17419"/>
    <w:rsid w:val="00B212AD"/>
    <w:rsid w:val="00B25DC3"/>
    <w:rsid w:val="00B31CD9"/>
    <w:rsid w:val="00B328FF"/>
    <w:rsid w:val="00B32CBF"/>
    <w:rsid w:val="00B334B6"/>
    <w:rsid w:val="00B33CD2"/>
    <w:rsid w:val="00B34EEC"/>
    <w:rsid w:val="00B35674"/>
    <w:rsid w:val="00B35C75"/>
    <w:rsid w:val="00B3633C"/>
    <w:rsid w:val="00B363B5"/>
    <w:rsid w:val="00B3745B"/>
    <w:rsid w:val="00B37B17"/>
    <w:rsid w:val="00B41A04"/>
    <w:rsid w:val="00B42D7D"/>
    <w:rsid w:val="00B42E40"/>
    <w:rsid w:val="00B43D5A"/>
    <w:rsid w:val="00B44B43"/>
    <w:rsid w:val="00B47BA0"/>
    <w:rsid w:val="00B47D47"/>
    <w:rsid w:val="00B51874"/>
    <w:rsid w:val="00B5336B"/>
    <w:rsid w:val="00B54EF4"/>
    <w:rsid w:val="00B61A15"/>
    <w:rsid w:val="00B624D7"/>
    <w:rsid w:val="00B639D0"/>
    <w:rsid w:val="00B65FB7"/>
    <w:rsid w:val="00B70A57"/>
    <w:rsid w:val="00B70DC8"/>
    <w:rsid w:val="00B718EF"/>
    <w:rsid w:val="00B720F5"/>
    <w:rsid w:val="00B73631"/>
    <w:rsid w:val="00B75872"/>
    <w:rsid w:val="00B77588"/>
    <w:rsid w:val="00B84B86"/>
    <w:rsid w:val="00B8572D"/>
    <w:rsid w:val="00B8761E"/>
    <w:rsid w:val="00B90371"/>
    <w:rsid w:val="00B91132"/>
    <w:rsid w:val="00B92518"/>
    <w:rsid w:val="00B92780"/>
    <w:rsid w:val="00B94354"/>
    <w:rsid w:val="00B94429"/>
    <w:rsid w:val="00B9594B"/>
    <w:rsid w:val="00B95F1B"/>
    <w:rsid w:val="00BA083C"/>
    <w:rsid w:val="00BA1DBF"/>
    <w:rsid w:val="00BA50F2"/>
    <w:rsid w:val="00BA6006"/>
    <w:rsid w:val="00BB0E05"/>
    <w:rsid w:val="00BB0F0E"/>
    <w:rsid w:val="00BB2288"/>
    <w:rsid w:val="00BB2B43"/>
    <w:rsid w:val="00BB3FE4"/>
    <w:rsid w:val="00BB4D2E"/>
    <w:rsid w:val="00BC05B0"/>
    <w:rsid w:val="00BC12C8"/>
    <w:rsid w:val="00BC1E35"/>
    <w:rsid w:val="00BC3412"/>
    <w:rsid w:val="00BC46C4"/>
    <w:rsid w:val="00BC4DBE"/>
    <w:rsid w:val="00BC5BC9"/>
    <w:rsid w:val="00BC63F4"/>
    <w:rsid w:val="00BC63FC"/>
    <w:rsid w:val="00BC74DE"/>
    <w:rsid w:val="00BD149A"/>
    <w:rsid w:val="00BD1CD3"/>
    <w:rsid w:val="00BD3118"/>
    <w:rsid w:val="00BD3513"/>
    <w:rsid w:val="00BD4792"/>
    <w:rsid w:val="00BD5030"/>
    <w:rsid w:val="00BD5713"/>
    <w:rsid w:val="00BD5925"/>
    <w:rsid w:val="00BD602B"/>
    <w:rsid w:val="00BD78D7"/>
    <w:rsid w:val="00BE07AC"/>
    <w:rsid w:val="00BE0ED1"/>
    <w:rsid w:val="00BE2264"/>
    <w:rsid w:val="00BE49AB"/>
    <w:rsid w:val="00BE507F"/>
    <w:rsid w:val="00BE58BB"/>
    <w:rsid w:val="00BE5966"/>
    <w:rsid w:val="00BE6B51"/>
    <w:rsid w:val="00BF1C4E"/>
    <w:rsid w:val="00BF608C"/>
    <w:rsid w:val="00C00D44"/>
    <w:rsid w:val="00C02059"/>
    <w:rsid w:val="00C044BB"/>
    <w:rsid w:val="00C045E4"/>
    <w:rsid w:val="00C05306"/>
    <w:rsid w:val="00C07F02"/>
    <w:rsid w:val="00C112A7"/>
    <w:rsid w:val="00C127AC"/>
    <w:rsid w:val="00C15BFA"/>
    <w:rsid w:val="00C17A6B"/>
    <w:rsid w:val="00C209DB"/>
    <w:rsid w:val="00C262A4"/>
    <w:rsid w:val="00C2664D"/>
    <w:rsid w:val="00C302BB"/>
    <w:rsid w:val="00C34150"/>
    <w:rsid w:val="00C34497"/>
    <w:rsid w:val="00C35762"/>
    <w:rsid w:val="00C364C5"/>
    <w:rsid w:val="00C40643"/>
    <w:rsid w:val="00C41844"/>
    <w:rsid w:val="00C428F6"/>
    <w:rsid w:val="00C457B7"/>
    <w:rsid w:val="00C51A89"/>
    <w:rsid w:val="00C51DA1"/>
    <w:rsid w:val="00C53DC0"/>
    <w:rsid w:val="00C57754"/>
    <w:rsid w:val="00C57C81"/>
    <w:rsid w:val="00C6023D"/>
    <w:rsid w:val="00C60876"/>
    <w:rsid w:val="00C62DAE"/>
    <w:rsid w:val="00C63A39"/>
    <w:rsid w:val="00C66094"/>
    <w:rsid w:val="00C6618F"/>
    <w:rsid w:val="00C669FF"/>
    <w:rsid w:val="00C66F16"/>
    <w:rsid w:val="00C70E5F"/>
    <w:rsid w:val="00C72B9B"/>
    <w:rsid w:val="00C72C12"/>
    <w:rsid w:val="00C75856"/>
    <w:rsid w:val="00C76656"/>
    <w:rsid w:val="00C7782F"/>
    <w:rsid w:val="00C80A90"/>
    <w:rsid w:val="00C846EE"/>
    <w:rsid w:val="00C846FD"/>
    <w:rsid w:val="00C84AC0"/>
    <w:rsid w:val="00C85107"/>
    <w:rsid w:val="00C857BF"/>
    <w:rsid w:val="00C85831"/>
    <w:rsid w:val="00C85BBC"/>
    <w:rsid w:val="00C86D82"/>
    <w:rsid w:val="00C87047"/>
    <w:rsid w:val="00C97CC3"/>
    <w:rsid w:val="00CA0BA3"/>
    <w:rsid w:val="00CA1799"/>
    <w:rsid w:val="00CA3782"/>
    <w:rsid w:val="00CA50F9"/>
    <w:rsid w:val="00CA5287"/>
    <w:rsid w:val="00CA64DC"/>
    <w:rsid w:val="00CB28EE"/>
    <w:rsid w:val="00CB3044"/>
    <w:rsid w:val="00CB3C6D"/>
    <w:rsid w:val="00CB5900"/>
    <w:rsid w:val="00CB5CEC"/>
    <w:rsid w:val="00CB5E9E"/>
    <w:rsid w:val="00CB6710"/>
    <w:rsid w:val="00CC005F"/>
    <w:rsid w:val="00CC11E8"/>
    <w:rsid w:val="00CC21F0"/>
    <w:rsid w:val="00CC255D"/>
    <w:rsid w:val="00CC2765"/>
    <w:rsid w:val="00CC409C"/>
    <w:rsid w:val="00CC44B0"/>
    <w:rsid w:val="00CC6116"/>
    <w:rsid w:val="00CC6B7C"/>
    <w:rsid w:val="00CD0477"/>
    <w:rsid w:val="00CD2E01"/>
    <w:rsid w:val="00CD54F0"/>
    <w:rsid w:val="00CD7FA1"/>
    <w:rsid w:val="00CE0B57"/>
    <w:rsid w:val="00CE2B0B"/>
    <w:rsid w:val="00CE2E84"/>
    <w:rsid w:val="00CE4BBD"/>
    <w:rsid w:val="00CE63AE"/>
    <w:rsid w:val="00CE7D8A"/>
    <w:rsid w:val="00CF00BF"/>
    <w:rsid w:val="00CF00DE"/>
    <w:rsid w:val="00CF1C02"/>
    <w:rsid w:val="00CF26A3"/>
    <w:rsid w:val="00CF5B89"/>
    <w:rsid w:val="00CF64C0"/>
    <w:rsid w:val="00CF756B"/>
    <w:rsid w:val="00CF7CC5"/>
    <w:rsid w:val="00D003AA"/>
    <w:rsid w:val="00D0059B"/>
    <w:rsid w:val="00D01F74"/>
    <w:rsid w:val="00D040DB"/>
    <w:rsid w:val="00D07139"/>
    <w:rsid w:val="00D10AB6"/>
    <w:rsid w:val="00D12F39"/>
    <w:rsid w:val="00D13B2A"/>
    <w:rsid w:val="00D154E0"/>
    <w:rsid w:val="00D15711"/>
    <w:rsid w:val="00D2222A"/>
    <w:rsid w:val="00D222BC"/>
    <w:rsid w:val="00D234B2"/>
    <w:rsid w:val="00D2412F"/>
    <w:rsid w:val="00D24EFF"/>
    <w:rsid w:val="00D26CE8"/>
    <w:rsid w:val="00D319CD"/>
    <w:rsid w:val="00D31FEB"/>
    <w:rsid w:val="00D32595"/>
    <w:rsid w:val="00D34FC1"/>
    <w:rsid w:val="00D354E8"/>
    <w:rsid w:val="00D36660"/>
    <w:rsid w:val="00D37156"/>
    <w:rsid w:val="00D37178"/>
    <w:rsid w:val="00D40242"/>
    <w:rsid w:val="00D4065E"/>
    <w:rsid w:val="00D40A81"/>
    <w:rsid w:val="00D41545"/>
    <w:rsid w:val="00D422CE"/>
    <w:rsid w:val="00D42D76"/>
    <w:rsid w:val="00D439FE"/>
    <w:rsid w:val="00D45410"/>
    <w:rsid w:val="00D454FF"/>
    <w:rsid w:val="00D4610B"/>
    <w:rsid w:val="00D46426"/>
    <w:rsid w:val="00D47E8F"/>
    <w:rsid w:val="00D50FCB"/>
    <w:rsid w:val="00D51229"/>
    <w:rsid w:val="00D53497"/>
    <w:rsid w:val="00D537BD"/>
    <w:rsid w:val="00D54E6F"/>
    <w:rsid w:val="00D5584E"/>
    <w:rsid w:val="00D57889"/>
    <w:rsid w:val="00D57DDD"/>
    <w:rsid w:val="00D57E96"/>
    <w:rsid w:val="00D63CF8"/>
    <w:rsid w:val="00D65AD9"/>
    <w:rsid w:val="00D67E80"/>
    <w:rsid w:val="00D7340E"/>
    <w:rsid w:val="00D74AD1"/>
    <w:rsid w:val="00D771F0"/>
    <w:rsid w:val="00D80B59"/>
    <w:rsid w:val="00D8201D"/>
    <w:rsid w:val="00D83531"/>
    <w:rsid w:val="00D8358C"/>
    <w:rsid w:val="00D84754"/>
    <w:rsid w:val="00D85CEF"/>
    <w:rsid w:val="00D90429"/>
    <w:rsid w:val="00D90E14"/>
    <w:rsid w:val="00D92451"/>
    <w:rsid w:val="00D92E60"/>
    <w:rsid w:val="00D95527"/>
    <w:rsid w:val="00D95C7E"/>
    <w:rsid w:val="00D976EA"/>
    <w:rsid w:val="00DA0689"/>
    <w:rsid w:val="00DA35D8"/>
    <w:rsid w:val="00DA676E"/>
    <w:rsid w:val="00DA6DDE"/>
    <w:rsid w:val="00DA746F"/>
    <w:rsid w:val="00DA763D"/>
    <w:rsid w:val="00DB16C8"/>
    <w:rsid w:val="00DB2109"/>
    <w:rsid w:val="00DB2860"/>
    <w:rsid w:val="00DB29B1"/>
    <w:rsid w:val="00DB371F"/>
    <w:rsid w:val="00DB42F8"/>
    <w:rsid w:val="00DB5211"/>
    <w:rsid w:val="00DB620E"/>
    <w:rsid w:val="00DC1697"/>
    <w:rsid w:val="00DC1BB0"/>
    <w:rsid w:val="00DC26BE"/>
    <w:rsid w:val="00DC2E00"/>
    <w:rsid w:val="00DC2ED0"/>
    <w:rsid w:val="00DC44B1"/>
    <w:rsid w:val="00DC6D15"/>
    <w:rsid w:val="00DC6DDD"/>
    <w:rsid w:val="00DC7648"/>
    <w:rsid w:val="00DD02F6"/>
    <w:rsid w:val="00DD308C"/>
    <w:rsid w:val="00DD3868"/>
    <w:rsid w:val="00DD7939"/>
    <w:rsid w:val="00DE04AF"/>
    <w:rsid w:val="00DE0C0F"/>
    <w:rsid w:val="00DE137E"/>
    <w:rsid w:val="00DE226A"/>
    <w:rsid w:val="00DE59D5"/>
    <w:rsid w:val="00DE5EAF"/>
    <w:rsid w:val="00DE704E"/>
    <w:rsid w:val="00DF13B7"/>
    <w:rsid w:val="00DF1457"/>
    <w:rsid w:val="00DF1F10"/>
    <w:rsid w:val="00DF2039"/>
    <w:rsid w:val="00DF309F"/>
    <w:rsid w:val="00DF3EFC"/>
    <w:rsid w:val="00E01D6F"/>
    <w:rsid w:val="00E05917"/>
    <w:rsid w:val="00E07E0F"/>
    <w:rsid w:val="00E1232A"/>
    <w:rsid w:val="00E12DDB"/>
    <w:rsid w:val="00E139C3"/>
    <w:rsid w:val="00E14390"/>
    <w:rsid w:val="00E1440C"/>
    <w:rsid w:val="00E15BCA"/>
    <w:rsid w:val="00E203B1"/>
    <w:rsid w:val="00E21D2E"/>
    <w:rsid w:val="00E2621C"/>
    <w:rsid w:val="00E27FDF"/>
    <w:rsid w:val="00E3019A"/>
    <w:rsid w:val="00E30350"/>
    <w:rsid w:val="00E308F8"/>
    <w:rsid w:val="00E31577"/>
    <w:rsid w:val="00E3280D"/>
    <w:rsid w:val="00E345AB"/>
    <w:rsid w:val="00E34A1A"/>
    <w:rsid w:val="00E4447C"/>
    <w:rsid w:val="00E446EF"/>
    <w:rsid w:val="00E44E4C"/>
    <w:rsid w:val="00E45988"/>
    <w:rsid w:val="00E45A28"/>
    <w:rsid w:val="00E45E23"/>
    <w:rsid w:val="00E47791"/>
    <w:rsid w:val="00E519E2"/>
    <w:rsid w:val="00E52378"/>
    <w:rsid w:val="00E525D8"/>
    <w:rsid w:val="00E52D68"/>
    <w:rsid w:val="00E53AD7"/>
    <w:rsid w:val="00E54ACA"/>
    <w:rsid w:val="00E54B8A"/>
    <w:rsid w:val="00E55293"/>
    <w:rsid w:val="00E56595"/>
    <w:rsid w:val="00E57987"/>
    <w:rsid w:val="00E61DC8"/>
    <w:rsid w:val="00E623C2"/>
    <w:rsid w:val="00E628AF"/>
    <w:rsid w:val="00E645AC"/>
    <w:rsid w:val="00E648D4"/>
    <w:rsid w:val="00E66273"/>
    <w:rsid w:val="00E67F0E"/>
    <w:rsid w:val="00E70725"/>
    <w:rsid w:val="00E71386"/>
    <w:rsid w:val="00E71642"/>
    <w:rsid w:val="00E72487"/>
    <w:rsid w:val="00E7442E"/>
    <w:rsid w:val="00E74D4D"/>
    <w:rsid w:val="00E75301"/>
    <w:rsid w:val="00E760C7"/>
    <w:rsid w:val="00E76479"/>
    <w:rsid w:val="00E76F6E"/>
    <w:rsid w:val="00E80C90"/>
    <w:rsid w:val="00E812A9"/>
    <w:rsid w:val="00E83D5B"/>
    <w:rsid w:val="00E87322"/>
    <w:rsid w:val="00E907CE"/>
    <w:rsid w:val="00E9132A"/>
    <w:rsid w:val="00E913BE"/>
    <w:rsid w:val="00E91F41"/>
    <w:rsid w:val="00E9253C"/>
    <w:rsid w:val="00E94B99"/>
    <w:rsid w:val="00E97DC4"/>
    <w:rsid w:val="00EA0943"/>
    <w:rsid w:val="00EA1A89"/>
    <w:rsid w:val="00EA2F5A"/>
    <w:rsid w:val="00EA473B"/>
    <w:rsid w:val="00EA78D7"/>
    <w:rsid w:val="00EA7949"/>
    <w:rsid w:val="00EA7C69"/>
    <w:rsid w:val="00EA7D28"/>
    <w:rsid w:val="00EB0A50"/>
    <w:rsid w:val="00EB11DC"/>
    <w:rsid w:val="00EB1BEB"/>
    <w:rsid w:val="00EB35C8"/>
    <w:rsid w:val="00EB5280"/>
    <w:rsid w:val="00EB645B"/>
    <w:rsid w:val="00EB7666"/>
    <w:rsid w:val="00EC0049"/>
    <w:rsid w:val="00EC0141"/>
    <w:rsid w:val="00EC0638"/>
    <w:rsid w:val="00EC1A78"/>
    <w:rsid w:val="00EC3327"/>
    <w:rsid w:val="00EC39A7"/>
    <w:rsid w:val="00EC53E4"/>
    <w:rsid w:val="00EC7940"/>
    <w:rsid w:val="00ED2A3B"/>
    <w:rsid w:val="00ED362B"/>
    <w:rsid w:val="00ED3974"/>
    <w:rsid w:val="00ED48FB"/>
    <w:rsid w:val="00ED4E14"/>
    <w:rsid w:val="00ED54E7"/>
    <w:rsid w:val="00ED647F"/>
    <w:rsid w:val="00ED6F9A"/>
    <w:rsid w:val="00EE0213"/>
    <w:rsid w:val="00EE27E1"/>
    <w:rsid w:val="00EE372B"/>
    <w:rsid w:val="00EE68D4"/>
    <w:rsid w:val="00EE7F06"/>
    <w:rsid w:val="00EF07DE"/>
    <w:rsid w:val="00EF2616"/>
    <w:rsid w:val="00EF3B3A"/>
    <w:rsid w:val="00EF49B4"/>
    <w:rsid w:val="00EF6526"/>
    <w:rsid w:val="00F000C6"/>
    <w:rsid w:val="00F00110"/>
    <w:rsid w:val="00F01E2A"/>
    <w:rsid w:val="00F02283"/>
    <w:rsid w:val="00F03818"/>
    <w:rsid w:val="00F04A3C"/>
    <w:rsid w:val="00F06BF7"/>
    <w:rsid w:val="00F07800"/>
    <w:rsid w:val="00F11584"/>
    <w:rsid w:val="00F11EE1"/>
    <w:rsid w:val="00F164B3"/>
    <w:rsid w:val="00F167ED"/>
    <w:rsid w:val="00F175A1"/>
    <w:rsid w:val="00F3122A"/>
    <w:rsid w:val="00F34E53"/>
    <w:rsid w:val="00F35EB7"/>
    <w:rsid w:val="00F40562"/>
    <w:rsid w:val="00F442C8"/>
    <w:rsid w:val="00F44669"/>
    <w:rsid w:val="00F44814"/>
    <w:rsid w:val="00F4663F"/>
    <w:rsid w:val="00F50572"/>
    <w:rsid w:val="00F53CAD"/>
    <w:rsid w:val="00F56269"/>
    <w:rsid w:val="00F62669"/>
    <w:rsid w:val="00F641E2"/>
    <w:rsid w:val="00F651B7"/>
    <w:rsid w:val="00F656CA"/>
    <w:rsid w:val="00F65BF8"/>
    <w:rsid w:val="00F67CE3"/>
    <w:rsid w:val="00F67D99"/>
    <w:rsid w:val="00F705A6"/>
    <w:rsid w:val="00F706B1"/>
    <w:rsid w:val="00F70847"/>
    <w:rsid w:val="00F71089"/>
    <w:rsid w:val="00F71F4E"/>
    <w:rsid w:val="00F72CD4"/>
    <w:rsid w:val="00F73ABA"/>
    <w:rsid w:val="00F750BF"/>
    <w:rsid w:val="00F76ACA"/>
    <w:rsid w:val="00F7751D"/>
    <w:rsid w:val="00F82588"/>
    <w:rsid w:val="00F82E31"/>
    <w:rsid w:val="00F82F38"/>
    <w:rsid w:val="00F84A15"/>
    <w:rsid w:val="00F8762E"/>
    <w:rsid w:val="00F87BA0"/>
    <w:rsid w:val="00F92890"/>
    <w:rsid w:val="00F94C04"/>
    <w:rsid w:val="00F9538C"/>
    <w:rsid w:val="00F96021"/>
    <w:rsid w:val="00F9783B"/>
    <w:rsid w:val="00FA03AB"/>
    <w:rsid w:val="00FA149F"/>
    <w:rsid w:val="00FA2548"/>
    <w:rsid w:val="00FA380C"/>
    <w:rsid w:val="00FA3A35"/>
    <w:rsid w:val="00FA4D65"/>
    <w:rsid w:val="00FB12A2"/>
    <w:rsid w:val="00FB195E"/>
    <w:rsid w:val="00FB27C1"/>
    <w:rsid w:val="00FB27FB"/>
    <w:rsid w:val="00FB67F5"/>
    <w:rsid w:val="00FB7C1F"/>
    <w:rsid w:val="00FC1AEE"/>
    <w:rsid w:val="00FC2473"/>
    <w:rsid w:val="00FC2538"/>
    <w:rsid w:val="00FC2C4F"/>
    <w:rsid w:val="00FC46D5"/>
    <w:rsid w:val="00FC5060"/>
    <w:rsid w:val="00FC52DD"/>
    <w:rsid w:val="00FC562D"/>
    <w:rsid w:val="00FC5AF5"/>
    <w:rsid w:val="00FC5EC7"/>
    <w:rsid w:val="00FC76C3"/>
    <w:rsid w:val="00FC79D1"/>
    <w:rsid w:val="00FD1FAE"/>
    <w:rsid w:val="00FD4A2F"/>
    <w:rsid w:val="00FD5E7D"/>
    <w:rsid w:val="00FD608B"/>
    <w:rsid w:val="00FD6F08"/>
    <w:rsid w:val="00FE058C"/>
    <w:rsid w:val="00FE0797"/>
    <w:rsid w:val="00FE2388"/>
    <w:rsid w:val="00FE2538"/>
    <w:rsid w:val="00FE4B76"/>
    <w:rsid w:val="00FE5EFF"/>
    <w:rsid w:val="00FE6D4D"/>
    <w:rsid w:val="00FE72FF"/>
    <w:rsid w:val="00FE7E09"/>
    <w:rsid w:val="00FF3C72"/>
    <w:rsid w:val="00FF48E3"/>
    <w:rsid w:val="00FF64A7"/>
    <w:rsid w:val="00FF7D6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9A2868"/>
  <w15:docId w15:val="{93C6E8C4-BC84-F64D-B0F5-C97315793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395"/>
    <w:pPr>
      <w:spacing w:after="0" w:line="240" w:lineRule="auto"/>
      <w:jc w:val="both"/>
    </w:pPr>
    <w:rPr>
      <w:rFonts w:ascii="Times New Roman" w:eastAsia="Times New Roman" w:hAnsi="Times New Roman" w:cs="Times New Roman"/>
      <w:szCs w:val="24"/>
      <w:lang w:val="en-GB"/>
    </w:rPr>
  </w:style>
  <w:style w:type="paragraph" w:styleId="Heading1">
    <w:name w:val="heading 1"/>
    <w:basedOn w:val="Normal"/>
    <w:next w:val="Heading2"/>
    <w:link w:val="Heading1Char"/>
    <w:qFormat/>
    <w:rsid w:val="00482395"/>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482395"/>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482395"/>
    <w:pPr>
      <w:keepNext/>
      <w:tabs>
        <w:tab w:val="left" w:pos="567"/>
      </w:tabs>
      <w:spacing w:before="120" w:after="120"/>
      <w:jc w:val="center"/>
      <w:outlineLvl w:val="2"/>
    </w:pPr>
    <w:rPr>
      <w:i/>
      <w:iCs/>
    </w:rPr>
  </w:style>
  <w:style w:type="paragraph" w:styleId="Heading4">
    <w:name w:val="heading 4"/>
    <w:basedOn w:val="Normal"/>
    <w:link w:val="Heading4Char"/>
    <w:qFormat/>
    <w:rsid w:val="00482395"/>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482395"/>
    <w:pPr>
      <w:keepNext/>
      <w:numPr>
        <w:ilvl w:val="4"/>
        <w:numId w:val="6"/>
      </w:numPr>
      <w:spacing w:before="120" w:after="120"/>
      <w:jc w:val="left"/>
      <w:outlineLvl w:val="4"/>
    </w:pPr>
    <w:rPr>
      <w:bCs/>
      <w:i/>
      <w:szCs w:val="26"/>
      <w:lang w:val="en-CA"/>
    </w:rPr>
  </w:style>
  <w:style w:type="paragraph" w:styleId="Heading6">
    <w:name w:val="heading 6"/>
    <w:basedOn w:val="Normal"/>
    <w:next w:val="Normal"/>
    <w:link w:val="Heading6Char"/>
    <w:qFormat/>
    <w:rsid w:val="00482395"/>
    <w:pPr>
      <w:keepNext/>
      <w:spacing w:after="240" w:line="240" w:lineRule="exact"/>
      <w:ind w:left="720"/>
      <w:outlineLvl w:val="5"/>
    </w:pPr>
    <w:rPr>
      <w:u w:val="single"/>
    </w:rPr>
  </w:style>
  <w:style w:type="paragraph" w:styleId="Heading7">
    <w:name w:val="heading 7"/>
    <w:basedOn w:val="Normal"/>
    <w:next w:val="Normal"/>
    <w:link w:val="Heading7Char"/>
    <w:rsid w:val="00482395"/>
    <w:pPr>
      <w:keepNext/>
      <w:jc w:val="right"/>
      <w:outlineLvl w:val="6"/>
    </w:pPr>
    <w:rPr>
      <w:rFonts w:ascii="Univers" w:hAnsi="Univers"/>
      <w:b/>
      <w:sz w:val="28"/>
    </w:rPr>
  </w:style>
  <w:style w:type="paragraph" w:styleId="Heading8">
    <w:name w:val="heading 8"/>
    <w:basedOn w:val="Normal"/>
    <w:next w:val="Normal"/>
    <w:link w:val="Heading8Char"/>
    <w:qFormat/>
    <w:rsid w:val="00482395"/>
    <w:pPr>
      <w:keepNext/>
      <w:jc w:val="right"/>
      <w:outlineLvl w:val="7"/>
    </w:pPr>
    <w:rPr>
      <w:rFonts w:ascii="Univers" w:hAnsi="Univers"/>
      <w:b/>
      <w:sz w:val="32"/>
    </w:rPr>
  </w:style>
  <w:style w:type="paragraph" w:styleId="Heading9">
    <w:name w:val="heading 9"/>
    <w:basedOn w:val="Normal"/>
    <w:next w:val="Normal"/>
    <w:link w:val="Heading9Char"/>
    <w:rsid w:val="00482395"/>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82395"/>
    <w:rPr>
      <w:szCs w:val="24"/>
      <w:vertAlign w:val="superscript"/>
      <w:lang w:val="fr-CA"/>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qFormat/>
    <w:rsid w:val="00482395"/>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482395"/>
    <w:rPr>
      <w:rFonts w:ascii="Times New Roman" w:eastAsia="Times New Roman" w:hAnsi="Times New Roman" w:cs="Times New Roman"/>
      <w:sz w:val="18"/>
      <w:szCs w:val="24"/>
      <w:lang w:val="en-GB"/>
    </w:rPr>
  </w:style>
  <w:style w:type="paragraph" w:customStyle="1" w:styleId="Para1">
    <w:name w:val="Para1"/>
    <w:basedOn w:val="Normal"/>
    <w:link w:val="Para1Char"/>
    <w:uiPriority w:val="99"/>
    <w:rsid w:val="00482395"/>
    <w:pPr>
      <w:numPr>
        <w:numId w:val="7"/>
      </w:numPr>
      <w:tabs>
        <w:tab w:val="clear" w:pos="360"/>
      </w:tabs>
      <w:spacing w:before="120" w:after="120"/>
    </w:pPr>
    <w:rPr>
      <w:snapToGrid w:val="0"/>
      <w:szCs w:val="18"/>
    </w:rPr>
  </w:style>
  <w:style w:type="paragraph" w:customStyle="1" w:styleId="recommendationheader">
    <w:name w:val="recommendation header"/>
    <w:basedOn w:val="Heading2"/>
    <w:qFormat/>
    <w:rsid w:val="00482395"/>
  </w:style>
  <w:style w:type="character" w:customStyle="1" w:styleId="Para1Char">
    <w:name w:val="Para1 Char"/>
    <w:link w:val="Para1"/>
    <w:uiPriority w:val="99"/>
    <w:locked/>
    <w:rsid w:val="00482395"/>
    <w:rPr>
      <w:rFonts w:ascii="Times New Roman" w:eastAsia="Times New Roman" w:hAnsi="Times New Roman" w:cs="Times New Roman"/>
      <w:snapToGrid w:val="0"/>
      <w:szCs w:val="18"/>
      <w:lang w:val="en-GB"/>
    </w:rPr>
  </w:style>
  <w:style w:type="paragraph" w:customStyle="1" w:styleId="Item">
    <w:name w:val="Item"/>
    <w:basedOn w:val="Normal"/>
    <w:qFormat/>
    <w:rsid w:val="00451B9F"/>
    <w:pPr>
      <w:keepNext/>
      <w:spacing w:before="240" w:after="120"/>
      <w:ind w:left="720" w:hanging="720"/>
      <w:jc w:val="center"/>
    </w:pPr>
    <w:rPr>
      <w:b/>
      <w:kern w:val="22"/>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482395"/>
    <w:pPr>
      <w:spacing w:after="160" w:line="240" w:lineRule="exact"/>
      <w:jc w:val="left"/>
    </w:pPr>
    <w:rPr>
      <w:rFonts w:asciiTheme="minorHAnsi" w:eastAsiaTheme="minorEastAsia" w:hAnsiTheme="minorHAnsi" w:cstheme="minorBidi"/>
      <w:vertAlign w:val="superscript"/>
      <w:lang w:val="fr-CA"/>
    </w:rPr>
  </w:style>
  <w:style w:type="paragraph" w:customStyle="1" w:styleId="Default">
    <w:name w:val="Default"/>
    <w:rsid w:val="00451B9F"/>
    <w:pPr>
      <w:autoSpaceDE w:val="0"/>
      <w:autoSpaceDN w:val="0"/>
      <w:adjustRightInd w:val="0"/>
      <w:spacing w:after="0" w:line="240" w:lineRule="auto"/>
    </w:pPr>
    <w:rPr>
      <w:rFonts w:ascii="Times New Roman" w:eastAsia="Times New Roman" w:hAnsi="Times New Roman" w:cs="Times New Roman"/>
      <w:color w:val="000000"/>
      <w:sz w:val="24"/>
      <w:szCs w:val="24"/>
      <w:lang w:val="de-CH" w:eastAsia="de-CH"/>
    </w:rPr>
  </w:style>
  <w:style w:type="character" w:customStyle="1" w:styleId="Heading2Char">
    <w:name w:val="Heading 2 Char"/>
    <w:basedOn w:val="DefaultParagraphFont"/>
    <w:link w:val="Heading2"/>
    <w:rsid w:val="00482395"/>
    <w:rPr>
      <w:rFonts w:ascii="Times New Roman" w:eastAsia="Times New Roman" w:hAnsi="Times New Roman" w:cs="Times New Roman"/>
      <w:b/>
      <w:bCs/>
      <w:iCs/>
      <w:szCs w:val="24"/>
      <w:lang w:val="en-GB"/>
    </w:rPr>
  </w:style>
  <w:style w:type="paragraph" w:styleId="ListParagraph">
    <w:name w:val="List Paragraph"/>
    <w:basedOn w:val="Normal"/>
    <w:uiPriority w:val="34"/>
    <w:qFormat/>
    <w:rsid w:val="00482395"/>
    <w:pPr>
      <w:ind w:left="720"/>
      <w:contextualSpacing/>
    </w:pPr>
  </w:style>
  <w:style w:type="paragraph" w:styleId="NormalWeb">
    <w:name w:val="Normal (Web)"/>
    <w:basedOn w:val="Normal"/>
    <w:uiPriority w:val="99"/>
    <w:semiHidden/>
    <w:unhideWhenUsed/>
    <w:rsid w:val="000E7ACC"/>
    <w:rPr>
      <w:rFonts w:ascii="Calibri" w:hAnsi="Calibri" w:cs="Calibri"/>
      <w:szCs w:val="22"/>
      <w:lang w:val="fr-FR" w:eastAsia="fr-FR"/>
    </w:rPr>
  </w:style>
  <w:style w:type="paragraph" w:styleId="BodyText">
    <w:name w:val="Body Text"/>
    <w:basedOn w:val="Normal"/>
    <w:link w:val="BodyTextChar"/>
    <w:rsid w:val="00482395"/>
    <w:pPr>
      <w:spacing w:before="120" w:after="120"/>
      <w:ind w:firstLine="720"/>
    </w:pPr>
    <w:rPr>
      <w:iCs/>
    </w:rPr>
  </w:style>
  <w:style w:type="character" w:customStyle="1" w:styleId="BodyTextChar">
    <w:name w:val="Body Text Char"/>
    <w:basedOn w:val="DefaultParagraphFont"/>
    <w:link w:val="BodyText"/>
    <w:rsid w:val="00482395"/>
    <w:rPr>
      <w:rFonts w:ascii="Times New Roman" w:eastAsia="Times New Roman" w:hAnsi="Times New Roman" w:cs="Times New Roman"/>
      <w:iCs/>
      <w:szCs w:val="24"/>
      <w:lang w:val="en-GB"/>
    </w:rPr>
  </w:style>
  <w:style w:type="character" w:styleId="CommentReference">
    <w:name w:val="annotation reference"/>
    <w:semiHidden/>
    <w:rsid w:val="00482395"/>
    <w:rPr>
      <w:sz w:val="16"/>
    </w:rPr>
  </w:style>
  <w:style w:type="paragraph" w:styleId="CommentText">
    <w:name w:val="annotation text"/>
    <w:basedOn w:val="Normal"/>
    <w:link w:val="CommentTextChar"/>
    <w:semiHidden/>
    <w:rsid w:val="00482395"/>
    <w:pPr>
      <w:spacing w:after="120" w:line="240" w:lineRule="exact"/>
    </w:pPr>
  </w:style>
  <w:style w:type="character" w:customStyle="1" w:styleId="CommentTextChar">
    <w:name w:val="Comment Text Char"/>
    <w:basedOn w:val="DefaultParagraphFont"/>
    <w:link w:val="CommentText"/>
    <w:semiHidden/>
    <w:rsid w:val="00482395"/>
    <w:rPr>
      <w:rFonts w:ascii="Times New Roman" w:eastAsia="Times New Roman" w:hAnsi="Times New Roman" w:cs="Times New Roman"/>
      <w:szCs w:val="24"/>
      <w:lang w:val="en-GB"/>
    </w:rPr>
  </w:style>
  <w:style w:type="paragraph" w:styleId="BalloonText">
    <w:name w:val="Balloon Text"/>
    <w:basedOn w:val="Normal"/>
    <w:link w:val="BalloonTextChar"/>
    <w:uiPriority w:val="99"/>
    <w:semiHidden/>
    <w:unhideWhenUsed/>
    <w:rsid w:val="004823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2395"/>
    <w:rPr>
      <w:rFonts w:ascii="Lucida Grande" w:eastAsia="Times New Roman" w:hAnsi="Lucida Grande" w:cs="Lucida Grande"/>
      <w:sz w:val="18"/>
      <w:szCs w:val="18"/>
      <w:lang w:val="en-GB"/>
    </w:rPr>
  </w:style>
  <w:style w:type="paragraph" w:styleId="NoSpacing">
    <w:name w:val="No Spacing"/>
    <w:link w:val="NoSpacingChar"/>
    <w:uiPriority w:val="1"/>
    <w:qFormat/>
    <w:rsid w:val="00E1232A"/>
    <w:pPr>
      <w:spacing w:after="0" w:line="240" w:lineRule="auto"/>
    </w:pPr>
    <w:rPr>
      <w:rFonts w:ascii="Calibri" w:eastAsia="Calibri" w:hAnsi="Calibri" w:cs="Times New Roman"/>
      <w:lang w:val="en-US"/>
    </w:rPr>
  </w:style>
  <w:style w:type="character" w:customStyle="1" w:styleId="NoSpacingChar">
    <w:name w:val="No Spacing Char"/>
    <w:basedOn w:val="DefaultParagraphFont"/>
    <w:link w:val="NoSpacing"/>
    <w:uiPriority w:val="1"/>
    <w:rsid w:val="00E1232A"/>
    <w:rPr>
      <w:rFonts w:ascii="Calibri" w:eastAsia="Calibri" w:hAnsi="Calibri" w:cs="Times New Roman"/>
      <w:lang w:val="en-US"/>
    </w:rPr>
  </w:style>
  <w:style w:type="table" w:styleId="TableGrid">
    <w:name w:val="Table Grid"/>
    <w:basedOn w:val="TableNormal"/>
    <w:uiPriority w:val="59"/>
    <w:rsid w:val="00482395"/>
    <w:pPr>
      <w:spacing w:after="0" w:line="240" w:lineRule="auto"/>
    </w:pPr>
    <w:rPr>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482395"/>
    <w:rPr>
      <w:color w:val="808080"/>
    </w:rPr>
  </w:style>
  <w:style w:type="paragraph" w:styleId="Header">
    <w:name w:val="header"/>
    <w:basedOn w:val="Normal"/>
    <w:link w:val="HeaderChar"/>
    <w:rsid w:val="00482395"/>
    <w:pPr>
      <w:tabs>
        <w:tab w:val="center" w:pos="4320"/>
        <w:tab w:val="right" w:pos="8640"/>
      </w:tabs>
    </w:pPr>
  </w:style>
  <w:style w:type="character" w:customStyle="1" w:styleId="HeaderChar">
    <w:name w:val="Header Char"/>
    <w:basedOn w:val="DefaultParagraphFont"/>
    <w:link w:val="Header"/>
    <w:rsid w:val="00482395"/>
    <w:rPr>
      <w:rFonts w:ascii="Times New Roman" w:eastAsia="Times New Roman" w:hAnsi="Times New Roman" w:cs="Times New Roman"/>
      <w:szCs w:val="24"/>
      <w:lang w:val="en-GB"/>
    </w:rPr>
  </w:style>
  <w:style w:type="paragraph" w:styleId="Footer">
    <w:name w:val="footer"/>
    <w:basedOn w:val="Normal"/>
    <w:link w:val="FooterChar"/>
    <w:rsid w:val="00482395"/>
    <w:pPr>
      <w:tabs>
        <w:tab w:val="center" w:pos="4320"/>
        <w:tab w:val="right" w:pos="8640"/>
      </w:tabs>
      <w:ind w:firstLine="720"/>
      <w:jc w:val="right"/>
    </w:pPr>
  </w:style>
  <w:style w:type="character" w:customStyle="1" w:styleId="FooterChar">
    <w:name w:val="Footer Char"/>
    <w:basedOn w:val="DefaultParagraphFont"/>
    <w:link w:val="Footer"/>
    <w:rsid w:val="00482395"/>
    <w:rPr>
      <w:rFonts w:ascii="Times New Roman" w:eastAsia="Times New Roman" w:hAnsi="Times New Roman" w:cs="Times New Roman"/>
      <w:szCs w:val="24"/>
      <w:lang w:val="en-GB"/>
    </w:rPr>
  </w:style>
  <w:style w:type="paragraph" w:customStyle="1" w:styleId="decision">
    <w:name w:val="decision"/>
    <w:basedOn w:val="Normal"/>
    <w:qFormat/>
    <w:rsid w:val="00FC79D1"/>
    <w:pPr>
      <w:keepNext/>
      <w:jc w:val="center"/>
    </w:pPr>
    <w:rPr>
      <w:rFonts w:ascii="Times New Roman Bold" w:eastAsia="Malgun Gothic" w:hAnsi="Times New Roman Bold"/>
      <w:b/>
    </w:rPr>
  </w:style>
  <w:style w:type="paragraph" w:styleId="CommentSubject">
    <w:name w:val="annotation subject"/>
    <w:basedOn w:val="CommentText"/>
    <w:next w:val="CommentText"/>
    <w:link w:val="CommentSubjectChar"/>
    <w:uiPriority w:val="99"/>
    <w:semiHidden/>
    <w:unhideWhenUsed/>
    <w:rsid w:val="00D67E80"/>
    <w:rPr>
      <w:b/>
      <w:bCs/>
      <w:sz w:val="20"/>
      <w:szCs w:val="20"/>
    </w:rPr>
  </w:style>
  <w:style w:type="character" w:customStyle="1" w:styleId="CommentSubjectChar">
    <w:name w:val="Comment Subject Char"/>
    <w:basedOn w:val="CommentTextChar"/>
    <w:link w:val="CommentSubject"/>
    <w:uiPriority w:val="99"/>
    <w:semiHidden/>
    <w:rsid w:val="00D67E80"/>
    <w:rPr>
      <w:rFonts w:ascii="Times New Roman" w:eastAsia="Times New Roman" w:hAnsi="Times New Roman" w:cs="Times New Roman"/>
      <w:b/>
      <w:bCs/>
      <w:sz w:val="20"/>
      <w:szCs w:val="20"/>
      <w:lang w:val="en-GB" w:eastAsia="en-CA"/>
    </w:rPr>
  </w:style>
  <w:style w:type="paragraph" w:styleId="Revision">
    <w:name w:val="Revision"/>
    <w:hidden/>
    <w:uiPriority w:val="99"/>
    <w:semiHidden/>
    <w:rsid w:val="00BE49AB"/>
    <w:pPr>
      <w:spacing w:after="0" w:line="240" w:lineRule="auto"/>
    </w:pPr>
    <w:rPr>
      <w:rFonts w:ascii="Times New Roman" w:eastAsia="Times New Roman" w:hAnsi="Times New Roman" w:cs="Times New Roman"/>
      <w:szCs w:val="24"/>
      <w:lang w:eastAsia="en-CA"/>
    </w:rPr>
  </w:style>
  <w:style w:type="character" w:styleId="Hyperlink">
    <w:name w:val="Hyperlink"/>
    <w:rsid w:val="00482395"/>
    <w:rPr>
      <w:color w:val="0000FF"/>
      <w:sz w:val="18"/>
      <w:u w:val="single"/>
    </w:rPr>
  </w:style>
  <w:style w:type="character" w:styleId="FollowedHyperlink">
    <w:name w:val="FollowedHyperlink"/>
    <w:rsid w:val="00482395"/>
    <w:rPr>
      <w:color w:val="800080"/>
      <w:u w:val="single"/>
    </w:rPr>
  </w:style>
  <w:style w:type="paragraph" w:customStyle="1" w:styleId="xl66">
    <w:name w:val="xl66"/>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7">
    <w:name w:val="xl67"/>
    <w:basedOn w:val="Normal"/>
    <w:rsid w:val="00581E53"/>
    <w:pPr>
      <w:spacing w:before="100" w:beforeAutospacing="1" w:after="100" w:afterAutospacing="1"/>
      <w:textAlignment w:val="center"/>
    </w:pPr>
    <w:rPr>
      <w:sz w:val="20"/>
      <w:szCs w:val="20"/>
    </w:rPr>
  </w:style>
  <w:style w:type="paragraph" w:customStyle="1" w:styleId="xl68">
    <w:name w:val="xl68"/>
    <w:basedOn w:val="Normal"/>
    <w:rsid w:val="00581E53"/>
    <w:pPr>
      <w:spacing w:before="100" w:beforeAutospacing="1" w:after="100" w:afterAutospacing="1"/>
      <w:jc w:val="center"/>
      <w:textAlignment w:val="center"/>
    </w:pPr>
    <w:rPr>
      <w:b/>
      <w:bCs/>
      <w:sz w:val="20"/>
      <w:szCs w:val="20"/>
    </w:rPr>
  </w:style>
  <w:style w:type="paragraph" w:customStyle="1" w:styleId="xl69">
    <w:name w:val="xl69"/>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0">
    <w:name w:val="xl70"/>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1">
    <w:name w:val="xl71"/>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2">
    <w:name w:val="xl72"/>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3">
    <w:name w:val="xl73"/>
    <w:basedOn w:val="Normal"/>
    <w:rsid w:val="00581E53"/>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4">
    <w:name w:val="xl74"/>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5">
    <w:name w:val="xl75"/>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6">
    <w:name w:val="xl76"/>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7">
    <w:name w:val="xl77"/>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8">
    <w:name w:val="xl78"/>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80">
    <w:name w:val="xl80"/>
    <w:basedOn w:val="Normal"/>
    <w:rsid w:val="00581E53"/>
    <w:pPr>
      <w:spacing w:before="100" w:beforeAutospacing="1" w:after="100" w:afterAutospacing="1"/>
      <w:textAlignment w:val="center"/>
    </w:pPr>
    <w:rPr>
      <w:b/>
      <w:bCs/>
    </w:rPr>
  </w:style>
  <w:style w:type="character" w:customStyle="1" w:styleId="UnresolvedMention1">
    <w:name w:val="Unresolved Mention1"/>
    <w:basedOn w:val="DefaultParagraphFont"/>
    <w:uiPriority w:val="99"/>
    <w:semiHidden/>
    <w:unhideWhenUsed/>
    <w:rsid w:val="00000BF5"/>
    <w:rPr>
      <w:color w:val="605E5C"/>
      <w:shd w:val="clear" w:color="auto" w:fill="E1DFDD"/>
    </w:rPr>
  </w:style>
  <w:style w:type="paragraph" w:customStyle="1" w:styleId="Style1">
    <w:name w:val="Style1"/>
    <w:basedOn w:val="Heading2"/>
    <w:qFormat/>
    <w:rsid w:val="00482395"/>
    <w:rPr>
      <w:i/>
    </w:rPr>
  </w:style>
  <w:style w:type="paragraph" w:styleId="PlainText">
    <w:name w:val="Plain Text"/>
    <w:basedOn w:val="Normal"/>
    <w:link w:val="PlainTextChar"/>
    <w:uiPriority w:val="99"/>
    <w:semiHidden/>
    <w:unhideWhenUsed/>
    <w:rsid w:val="00A162AE"/>
    <w:rPr>
      <w:rFonts w:ascii="Calibri" w:eastAsiaTheme="minorHAnsi" w:hAnsi="Calibri" w:cs="Calibri"/>
      <w:lang w:val="fr-FR"/>
    </w:rPr>
  </w:style>
  <w:style w:type="character" w:customStyle="1" w:styleId="PlainTextChar">
    <w:name w:val="Plain Text Char"/>
    <w:basedOn w:val="DefaultParagraphFont"/>
    <w:link w:val="PlainText"/>
    <w:uiPriority w:val="99"/>
    <w:semiHidden/>
    <w:rsid w:val="00A162AE"/>
    <w:rPr>
      <w:rFonts w:ascii="Calibri" w:eastAsiaTheme="minorHAnsi" w:hAnsi="Calibri" w:cs="Calibri"/>
      <w:sz w:val="24"/>
      <w:szCs w:val="24"/>
      <w:lang w:val="fr-FR"/>
    </w:rPr>
  </w:style>
  <w:style w:type="table" w:customStyle="1" w:styleId="TableGrid1">
    <w:name w:val="Table Grid1"/>
    <w:basedOn w:val="TableNormal"/>
    <w:next w:val="TableGrid"/>
    <w:uiPriority w:val="59"/>
    <w:rsid w:val="00836C3D"/>
    <w:pPr>
      <w:spacing w:after="0" w:line="240" w:lineRule="auto"/>
    </w:pPr>
    <w:rPr>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82395"/>
    <w:rPr>
      <w:rFonts w:ascii="Times New Roman" w:eastAsia="Times New Roman" w:hAnsi="Times New Roman" w:cs="Times New Roman"/>
      <w:b/>
      <w:caps/>
      <w:szCs w:val="24"/>
      <w:lang w:val="en-GB"/>
    </w:rPr>
  </w:style>
  <w:style w:type="table" w:styleId="ListTable6Colorful">
    <w:name w:val="List Table 6 Colorful"/>
    <w:basedOn w:val="TableNormal"/>
    <w:uiPriority w:val="51"/>
    <w:rsid w:val="00D454FF"/>
    <w:pPr>
      <w:spacing w:after="0" w:line="240" w:lineRule="auto"/>
    </w:pPr>
    <w:rPr>
      <w:color w:val="000000" w:themeColor="text1"/>
      <w:sz w:val="24"/>
      <w:szCs w:val="24"/>
      <w:lang w:val="fr-CA"/>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reference">
    <w:name w:val="reference"/>
    <w:basedOn w:val="Heading9"/>
    <w:qFormat/>
    <w:rsid w:val="00482395"/>
    <w:rPr>
      <w:i w:val="0"/>
      <w:sz w:val="18"/>
    </w:rPr>
  </w:style>
  <w:style w:type="character" w:customStyle="1" w:styleId="Heading9Char">
    <w:name w:val="Heading 9 Char"/>
    <w:basedOn w:val="DefaultParagraphFont"/>
    <w:link w:val="Heading9"/>
    <w:rsid w:val="00482395"/>
    <w:rPr>
      <w:rFonts w:ascii="Times New Roman" w:eastAsia="Times New Roman" w:hAnsi="Times New Roman" w:cs="Times New Roman"/>
      <w:i/>
      <w:iCs/>
      <w:szCs w:val="24"/>
      <w:lang w:val="en-GB"/>
    </w:rPr>
  </w:style>
  <w:style w:type="paragraph" w:styleId="BodyTextIndent">
    <w:name w:val="Body Text Indent"/>
    <w:basedOn w:val="Normal"/>
    <w:link w:val="BodyTextIndentChar"/>
    <w:rsid w:val="00482395"/>
    <w:pPr>
      <w:spacing w:before="120" w:after="120"/>
      <w:ind w:left="1440" w:hanging="720"/>
      <w:jc w:val="left"/>
    </w:pPr>
  </w:style>
  <w:style w:type="character" w:customStyle="1" w:styleId="BodyTextIndentChar">
    <w:name w:val="Body Text Indent Char"/>
    <w:basedOn w:val="DefaultParagraphFont"/>
    <w:link w:val="BodyTextIndent"/>
    <w:rsid w:val="00482395"/>
    <w:rPr>
      <w:rFonts w:ascii="Times New Roman" w:eastAsia="Times New Roman" w:hAnsi="Times New Roman" w:cs="Times New Roman"/>
      <w:szCs w:val="24"/>
      <w:lang w:val="en-GB"/>
    </w:rPr>
  </w:style>
  <w:style w:type="paragraph" w:styleId="Caption">
    <w:name w:val="caption"/>
    <w:basedOn w:val="Normal"/>
    <w:next w:val="Normal"/>
    <w:uiPriority w:val="35"/>
    <w:unhideWhenUsed/>
    <w:qFormat/>
    <w:rsid w:val="00482395"/>
    <w:pPr>
      <w:keepNext/>
      <w:keepLines/>
      <w:spacing w:after="200"/>
    </w:pPr>
    <w:rPr>
      <w:b/>
      <w:iCs/>
      <w:szCs w:val="18"/>
    </w:rPr>
  </w:style>
  <w:style w:type="paragraph" w:customStyle="1" w:styleId="CBD-Doc">
    <w:name w:val="CBD-Doc"/>
    <w:basedOn w:val="Normal"/>
    <w:rsid w:val="00482395"/>
    <w:pPr>
      <w:keepLines/>
      <w:numPr>
        <w:numId w:val="4"/>
      </w:numPr>
      <w:spacing w:after="120"/>
    </w:pPr>
    <w:rPr>
      <w:rFonts w:cs="Angsana New"/>
    </w:rPr>
  </w:style>
  <w:style w:type="paragraph" w:customStyle="1" w:styleId="CBD-Doc-Type">
    <w:name w:val="CBD-Doc-Type"/>
    <w:basedOn w:val="Normal"/>
    <w:rsid w:val="00482395"/>
    <w:pPr>
      <w:keepLines/>
      <w:spacing w:before="240" w:after="120"/>
    </w:pPr>
    <w:rPr>
      <w:rFonts w:cs="Angsana New"/>
      <w:b/>
      <w:i/>
      <w:sz w:val="24"/>
    </w:rPr>
  </w:style>
  <w:style w:type="paragraph" w:customStyle="1" w:styleId="CBD-Para">
    <w:name w:val="CBD-Para"/>
    <w:basedOn w:val="Normal"/>
    <w:link w:val="CBD-ParaCharChar"/>
    <w:uiPriority w:val="99"/>
    <w:rsid w:val="00482395"/>
    <w:pPr>
      <w:keepLines/>
      <w:numPr>
        <w:numId w:val="5"/>
      </w:numPr>
      <w:spacing w:before="120" w:after="120"/>
    </w:pPr>
    <w:rPr>
      <w:szCs w:val="22"/>
      <w:lang w:val="en-US"/>
    </w:rPr>
  </w:style>
  <w:style w:type="character" w:customStyle="1" w:styleId="CBD-ParaCharChar">
    <w:name w:val="CBD-Para Char Char"/>
    <w:link w:val="CBD-Para"/>
    <w:uiPriority w:val="99"/>
    <w:locked/>
    <w:rsid w:val="00482395"/>
    <w:rPr>
      <w:rFonts w:ascii="Times New Roman" w:eastAsia="Times New Roman" w:hAnsi="Times New Roman" w:cs="Times New Roman"/>
      <w:lang w:val="en-US"/>
    </w:rPr>
  </w:style>
  <w:style w:type="paragraph" w:customStyle="1" w:styleId="Cornernotation">
    <w:name w:val="Corner notation"/>
    <w:basedOn w:val="Normal"/>
    <w:rsid w:val="00482395"/>
    <w:pPr>
      <w:ind w:left="170" w:right="3119" w:hanging="170"/>
      <w:jc w:val="left"/>
    </w:pPr>
  </w:style>
  <w:style w:type="character" w:styleId="EndnoteReference">
    <w:name w:val="endnote reference"/>
    <w:semiHidden/>
    <w:rsid w:val="00482395"/>
    <w:rPr>
      <w:vertAlign w:val="superscript"/>
    </w:rPr>
  </w:style>
  <w:style w:type="paragraph" w:styleId="EndnoteText">
    <w:name w:val="endnote text"/>
    <w:basedOn w:val="Normal"/>
    <w:link w:val="EndnoteTextChar"/>
    <w:semiHidden/>
    <w:rsid w:val="00482395"/>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482395"/>
    <w:rPr>
      <w:rFonts w:ascii="Courier New" w:eastAsia="Times New Roman" w:hAnsi="Courier New" w:cs="Times New Roman"/>
      <w:szCs w:val="24"/>
      <w:lang w:val="en-GB"/>
    </w:rPr>
  </w:style>
  <w:style w:type="paragraph" w:customStyle="1" w:styleId="HEADING">
    <w:name w:val="HEADING"/>
    <w:basedOn w:val="Normal"/>
    <w:rsid w:val="00482395"/>
    <w:pPr>
      <w:keepNext/>
      <w:spacing w:before="240" w:after="120"/>
      <w:jc w:val="center"/>
    </w:pPr>
    <w:rPr>
      <w:b/>
      <w:bCs/>
      <w:caps/>
    </w:rPr>
  </w:style>
  <w:style w:type="paragraph" w:customStyle="1" w:styleId="HEADINGNOTFORTOC">
    <w:name w:val="HEADING (NOT FOR TOC)"/>
    <w:basedOn w:val="Heading1"/>
    <w:next w:val="Heading2"/>
    <w:rsid w:val="00482395"/>
  </w:style>
  <w:style w:type="paragraph" w:customStyle="1" w:styleId="Heading1longmultiline">
    <w:name w:val="Heading 1 (long multiline)"/>
    <w:basedOn w:val="Heading1"/>
    <w:rsid w:val="00482395"/>
    <w:pPr>
      <w:ind w:left="1843" w:hanging="1134"/>
      <w:jc w:val="left"/>
    </w:pPr>
  </w:style>
  <w:style w:type="paragraph" w:customStyle="1" w:styleId="Heading1multiline">
    <w:name w:val="Heading 1 (multiline)"/>
    <w:basedOn w:val="Heading1"/>
    <w:rsid w:val="00482395"/>
    <w:pPr>
      <w:ind w:left="1843" w:right="996" w:hanging="567"/>
      <w:jc w:val="left"/>
    </w:pPr>
  </w:style>
  <w:style w:type="paragraph" w:customStyle="1" w:styleId="Heading2multiline">
    <w:name w:val="Heading 2 (multiline)"/>
    <w:basedOn w:val="Heading1"/>
    <w:next w:val="Normal"/>
    <w:rsid w:val="00482395"/>
    <w:pPr>
      <w:spacing w:before="120"/>
      <w:ind w:left="1843" w:right="998" w:hanging="567"/>
      <w:jc w:val="left"/>
    </w:pPr>
    <w:rPr>
      <w:i/>
      <w:iCs/>
      <w:caps w:val="0"/>
    </w:rPr>
  </w:style>
  <w:style w:type="paragraph" w:customStyle="1" w:styleId="Heading2longmultiline">
    <w:name w:val="Heading 2 (long multiline)"/>
    <w:basedOn w:val="Heading2multiline"/>
    <w:rsid w:val="00482395"/>
    <w:pPr>
      <w:ind w:left="2127" w:hanging="1276"/>
    </w:pPr>
  </w:style>
  <w:style w:type="character" w:customStyle="1" w:styleId="Heading3Char">
    <w:name w:val="Heading 3 Char"/>
    <w:basedOn w:val="DefaultParagraphFont"/>
    <w:link w:val="Heading3"/>
    <w:rsid w:val="00482395"/>
    <w:rPr>
      <w:rFonts w:ascii="Times New Roman" w:eastAsia="Times New Roman" w:hAnsi="Times New Roman" w:cs="Times New Roman"/>
      <w:i/>
      <w:iCs/>
      <w:szCs w:val="24"/>
      <w:lang w:val="en-GB"/>
    </w:rPr>
  </w:style>
  <w:style w:type="paragraph" w:customStyle="1" w:styleId="heading2notforTOC">
    <w:name w:val="heading 2 not for TOC"/>
    <w:basedOn w:val="Heading3"/>
    <w:rsid w:val="00482395"/>
  </w:style>
  <w:style w:type="paragraph" w:customStyle="1" w:styleId="Heading3multiline">
    <w:name w:val="Heading 3 (multiline)"/>
    <w:basedOn w:val="Heading3"/>
    <w:next w:val="Normal"/>
    <w:rsid w:val="00482395"/>
    <w:pPr>
      <w:ind w:left="1418" w:hanging="425"/>
      <w:jc w:val="left"/>
    </w:pPr>
  </w:style>
  <w:style w:type="character" w:customStyle="1" w:styleId="Heading4Char">
    <w:name w:val="Heading 4 Char"/>
    <w:basedOn w:val="DefaultParagraphFont"/>
    <w:link w:val="Heading4"/>
    <w:rsid w:val="00482395"/>
    <w:rPr>
      <w:rFonts w:ascii="Times New Roman Bold" w:eastAsia="Arial Unicode MS" w:hAnsi="Times New Roman Bold" w:cs="Arial"/>
      <w:b/>
      <w:bCs/>
      <w:i/>
      <w:szCs w:val="24"/>
      <w:lang w:val="en-GB"/>
    </w:rPr>
  </w:style>
  <w:style w:type="paragraph" w:customStyle="1" w:styleId="Heading4indent">
    <w:name w:val="Heading 4 indent"/>
    <w:basedOn w:val="Heading4"/>
    <w:rsid w:val="00482395"/>
    <w:pPr>
      <w:ind w:left="720"/>
      <w:outlineLvl w:val="9"/>
    </w:pPr>
    <w:rPr>
      <w:rFonts w:ascii="Times New Roman" w:hAnsi="Times New Roman"/>
    </w:rPr>
  </w:style>
  <w:style w:type="character" w:customStyle="1" w:styleId="Heading5Char">
    <w:name w:val="Heading 5 Char"/>
    <w:basedOn w:val="DefaultParagraphFont"/>
    <w:link w:val="Heading5"/>
    <w:rsid w:val="00482395"/>
    <w:rPr>
      <w:rFonts w:ascii="Times New Roman" w:eastAsia="Times New Roman" w:hAnsi="Times New Roman" w:cs="Times New Roman"/>
      <w:bCs/>
      <w:i/>
      <w:szCs w:val="26"/>
    </w:rPr>
  </w:style>
  <w:style w:type="character" w:customStyle="1" w:styleId="Heading6Char">
    <w:name w:val="Heading 6 Char"/>
    <w:basedOn w:val="DefaultParagraphFont"/>
    <w:link w:val="Heading6"/>
    <w:rsid w:val="00482395"/>
    <w:rPr>
      <w:rFonts w:ascii="Times New Roman" w:eastAsia="Times New Roman" w:hAnsi="Times New Roman" w:cs="Times New Roman"/>
      <w:szCs w:val="24"/>
      <w:u w:val="single"/>
      <w:lang w:val="en-GB"/>
    </w:rPr>
  </w:style>
  <w:style w:type="character" w:customStyle="1" w:styleId="Heading7Char">
    <w:name w:val="Heading 7 Char"/>
    <w:basedOn w:val="DefaultParagraphFont"/>
    <w:link w:val="Heading7"/>
    <w:rsid w:val="00482395"/>
    <w:rPr>
      <w:rFonts w:ascii="Univers" w:eastAsia="Times New Roman" w:hAnsi="Univers" w:cs="Times New Roman"/>
      <w:b/>
      <w:sz w:val="28"/>
      <w:szCs w:val="24"/>
      <w:lang w:val="en-GB"/>
    </w:rPr>
  </w:style>
  <w:style w:type="character" w:customStyle="1" w:styleId="Heading8Char">
    <w:name w:val="Heading 8 Char"/>
    <w:basedOn w:val="DefaultParagraphFont"/>
    <w:link w:val="Heading8"/>
    <w:rsid w:val="00482395"/>
    <w:rPr>
      <w:rFonts w:ascii="Univers" w:eastAsia="Times New Roman" w:hAnsi="Univers" w:cs="Times New Roman"/>
      <w:b/>
      <w:sz w:val="32"/>
      <w:szCs w:val="24"/>
      <w:lang w:val="en-GB"/>
    </w:rPr>
  </w:style>
  <w:style w:type="paragraph" w:customStyle="1" w:styleId="meetingname">
    <w:name w:val="meeting name"/>
    <w:basedOn w:val="Normal"/>
    <w:qFormat/>
    <w:rsid w:val="00482395"/>
    <w:pPr>
      <w:ind w:left="142" w:right="4218" w:hanging="142"/>
    </w:pPr>
    <w:rPr>
      <w:caps/>
      <w:szCs w:val="22"/>
    </w:rPr>
  </w:style>
  <w:style w:type="character" w:styleId="PageNumber">
    <w:name w:val="page number"/>
    <w:rsid w:val="00482395"/>
    <w:rPr>
      <w:rFonts w:ascii="Times New Roman" w:hAnsi="Times New Roman"/>
      <w:sz w:val="22"/>
    </w:rPr>
  </w:style>
  <w:style w:type="paragraph" w:customStyle="1" w:styleId="Para2">
    <w:name w:val="Para2"/>
    <w:basedOn w:val="Para1"/>
    <w:rsid w:val="00482395"/>
    <w:pPr>
      <w:numPr>
        <w:numId w:val="0"/>
      </w:numPr>
      <w:autoSpaceDE w:val="0"/>
      <w:autoSpaceDN w:val="0"/>
    </w:pPr>
  </w:style>
  <w:style w:type="paragraph" w:customStyle="1" w:styleId="Para3">
    <w:name w:val="Para3"/>
    <w:basedOn w:val="Normal"/>
    <w:rsid w:val="00482395"/>
    <w:pPr>
      <w:numPr>
        <w:ilvl w:val="3"/>
        <w:numId w:val="8"/>
      </w:numPr>
      <w:tabs>
        <w:tab w:val="left" w:pos="1980"/>
      </w:tabs>
      <w:spacing w:before="80" w:after="80"/>
    </w:pPr>
    <w:rPr>
      <w:szCs w:val="20"/>
    </w:rPr>
  </w:style>
  <w:style w:type="paragraph" w:customStyle="1" w:styleId="para4">
    <w:name w:val="para4"/>
    <w:basedOn w:val="Normal"/>
    <w:rsid w:val="00482395"/>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482395"/>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482395"/>
    <w:pPr>
      <w:spacing w:before="120" w:after="120"/>
      <w:ind w:left="720" w:right="720"/>
    </w:pPr>
    <w:rPr>
      <w:bCs/>
    </w:rPr>
  </w:style>
  <w:style w:type="paragraph" w:customStyle="1" w:styleId="recommendationheaderlong">
    <w:name w:val="recommendation header long"/>
    <w:basedOn w:val="Heading2longmultiline"/>
    <w:qFormat/>
    <w:rsid w:val="00482395"/>
  </w:style>
  <w:style w:type="character" w:customStyle="1" w:styleId="StyleFootnoteReferenceNounderline">
    <w:name w:val="Style Footnote Reference + No underline"/>
    <w:rsid w:val="00482395"/>
    <w:rPr>
      <w:sz w:val="18"/>
      <w:u w:val="none"/>
      <w:vertAlign w:val="baseline"/>
    </w:rPr>
  </w:style>
  <w:style w:type="paragraph" w:styleId="Subtitle">
    <w:name w:val="Subtitle"/>
    <w:basedOn w:val="Normal"/>
    <w:next w:val="Normal"/>
    <w:link w:val="SubtitleChar"/>
    <w:uiPriority w:val="11"/>
    <w:qFormat/>
    <w:rsid w:val="00482395"/>
    <w:pPr>
      <w:numPr>
        <w:ilvl w:val="1"/>
      </w:numPr>
    </w:pPr>
    <w:rPr>
      <w:rFonts w:asciiTheme="majorHAnsi" w:eastAsiaTheme="majorEastAsia" w:hAnsiTheme="majorHAnsi" w:cstheme="majorBidi"/>
      <w:i/>
      <w:iCs/>
      <w:color w:val="4472C4" w:themeColor="accent1"/>
      <w:spacing w:val="15"/>
      <w:sz w:val="24"/>
    </w:rPr>
  </w:style>
  <w:style w:type="character" w:customStyle="1" w:styleId="SubtitleChar">
    <w:name w:val="Subtitle Char"/>
    <w:basedOn w:val="DefaultParagraphFont"/>
    <w:link w:val="Subtitle"/>
    <w:uiPriority w:val="11"/>
    <w:rsid w:val="00482395"/>
    <w:rPr>
      <w:rFonts w:asciiTheme="majorHAnsi" w:eastAsiaTheme="majorEastAsia" w:hAnsiTheme="majorHAnsi" w:cstheme="majorBidi"/>
      <w:i/>
      <w:iCs/>
      <w:color w:val="4472C4" w:themeColor="accent1"/>
      <w:spacing w:val="15"/>
      <w:sz w:val="24"/>
      <w:szCs w:val="24"/>
      <w:lang w:val="en-GB"/>
    </w:rPr>
  </w:style>
  <w:style w:type="paragraph" w:customStyle="1" w:styleId="tabletitle">
    <w:name w:val="table title"/>
    <w:basedOn w:val="Heading2"/>
    <w:qFormat/>
    <w:rsid w:val="00482395"/>
    <w:pPr>
      <w:jc w:val="left"/>
      <w:outlineLvl w:val="9"/>
    </w:pPr>
    <w:rPr>
      <w:i/>
    </w:rPr>
  </w:style>
  <w:style w:type="paragraph" w:styleId="Title">
    <w:name w:val="Title"/>
    <w:basedOn w:val="Normal"/>
    <w:next w:val="Normal"/>
    <w:link w:val="TitleChar"/>
    <w:uiPriority w:val="10"/>
    <w:qFormat/>
    <w:rsid w:val="00482395"/>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82395"/>
    <w:rPr>
      <w:rFonts w:asciiTheme="majorHAnsi" w:eastAsiaTheme="majorEastAsia" w:hAnsiTheme="majorHAnsi" w:cstheme="majorBidi"/>
      <w:color w:val="323E4F" w:themeColor="text2" w:themeShade="BF"/>
      <w:spacing w:val="5"/>
      <w:kern w:val="28"/>
      <w:sz w:val="52"/>
      <w:szCs w:val="52"/>
      <w:lang w:val="en-GB"/>
    </w:rPr>
  </w:style>
  <w:style w:type="paragraph" w:styleId="TOAHeading">
    <w:name w:val="toa heading"/>
    <w:basedOn w:val="Normal"/>
    <w:next w:val="Normal"/>
    <w:semiHidden/>
    <w:rsid w:val="00482395"/>
    <w:pPr>
      <w:spacing w:before="120"/>
    </w:pPr>
    <w:rPr>
      <w:rFonts w:cs="Arial"/>
      <w:b/>
      <w:bCs/>
      <w:sz w:val="24"/>
    </w:rPr>
  </w:style>
  <w:style w:type="paragraph" w:styleId="TOC1">
    <w:name w:val="toc 1"/>
    <w:basedOn w:val="Normal"/>
    <w:next w:val="Normal"/>
    <w:autoRedefine/>
    <w:semiHidden/>
    <w:rsid w:val="00482395"/>
    <w:pPr>
      <w:ind w:left="720" w:hanging="720"/>
    </w:pPr>
    <w:rPr>
      <w:caps/>
    </w:rPr>
  </w:style>
  <w:style w:type="paragraph" w:styleId="TOC2">
    <w:name w:val="toc 2"/>
    <w:basedOn w:val="Normal"/>
    <w:next w:val="Normal"/>
    <w:autoRedefine/>
    <w:semiHidden/>
    <w:rsid w:val="00482395"/>
    <w:pPr>
      <w:tabs>
        <w:tab w:val="right" w:leader="dot" w:pos="9356"/>
      </w:tabs>
      <w:ind w:left="1440" w:hanging="720"/>
    </w:pPr>
    <w:rPr>
      <w:noProof/>
      <w:szCs w:val="22"/>
    </w:rPr>
  </w:style>
  <w:style w:type="paragraph" w:styleId="TOC3">
    <w:name w:val="toc 3"/>
    <w:basedOn w:val="Normal"/>
    <w:next w:val="Normal"/>
    <w:autoRedefine/>
    <w:semiHidden/>
    <w:rsid w:val="00482395"/>
    <w:pPr>
      <w:ind w:left="2160" w:hanging="720"/>
    </w:pPr>
  </w:style>
  <w:style w:type="paragraph" w:styleId="TOC4">
    <w:name w:val="toc 4"/>
    <w:basedOn w:val="Normal"/>
    <w:next w:val="Normal"/>
    <w:autoRedefine/>
    <w:semiHidden/>
    <w:rsid w:val="00482395"/>
    <w:pPr>
      <w:spacing w:before="120" w:after="120"/>
      <w:ind w:left="660"/>
      <w:jc w:val="left"/>
    </w:pPr>
  </w:style>
  <w:style w:type="paragraph" w:styleId="TOC5">
    <w:name w:val="toc 5"/>
    <w:basedOn w:val="Normal"/>
    <w:next w:val="Normal"/>
    <w:autoRedefine/>
    <w:semiHidden/>
    <w:rsid w:val="00482395"/>
    <w:pPr>
      <w:spacing w:before="120" w:after="120"/>
      <w:ind w:left="880"/>
      <w:jc w:val="left"/>
    </w:pPr>
  </w:style>
  <w:style w:type="paragraph" w:styleId="TOC6">
    <w:name w:val="toc 6"/>
    <w:basedOn w:val="Normal"/>
    <w:next w:val="Normal"/>
    <w:autoRedefine/>
    <w:semiHidden/>
    <w:rsid w:val="00482395"/>
    <w:pPr>
      <w:spacing w:before="120" w:after="120"/>
      <w:ind w:left="1100"/>
      <w:jc w:val="left"/>
    </w:pPr>
  </w:style>
  <w:style w:type="paragraph" w:styleId="TOC7">
    <w:name w:val="toc 7"/>
    <w:basedOn w:val="Normal"/>
    <w:next w:val="Normal"/>
    <w:autoRedefine/>
    <w:semiHidden/>
    <w:rsid w:val="00482395"/>
    <w:pPr>
      <w:spacing w:before="120" w:after="120"/>
      <w:ind w:left="1320"/>
      <w:jc w:val="left"/>
    </w:pPr>
  </w:style>
  <w:style w:type="paragraph" w:styleId="TOC8">
    <w:name w:val="toc 8"/>
    <w:basedOn w:val="Normal"/>
    <w:next w:val="Normal"/>
    <w:autoRedefine/>
    <w:semiHidden/>
    <w:rsid w:val="00482395"/>
    <w:pPr>
      <w:spacing w:before="120" w:after="120"/>
      <w:ind w:left="1540"/>
      <w:jc w:val="left"/>
    </w:pPr>
  </w:style>
  <w:style w:type="paragraph" w:styleId="TOC9">
    <w:name w:val="toc 9"/>
    <w:basedOn w:val="Normal"/>
    <w:next w:val="Normal"/>
    <w:autoRedefine/>
    <w:semiHidden/>
    <w:rsid w:val="00482395"/>
    <w:pPr>
      <w:spacing w:before="120" w:after="120"/>
      <w:ind w:left="1760"/>
      <w:jc w:val="left"/>
    </w:pPr>
  </w:style>
  <w:style w:type="character" w:styleId="UnresolvedMention">
    <w:name w:val="Unresolved Mention"/>
    <w:basedOn w:val="DefaultParagraphFont"/>
    <w:uiPriority w:val="99"/>
    <w:semiHidden/>
    <w:unhideWhenUsed/>
    <w:rsid w:val="00DB28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90803">
      <w:bodyDiv w:val="1"/>
      <w:marLeft w:val="0"/>
      <w:marRight w:val="0"/>
      <w:marTop w:val="0"/>
      <w:marBottom w:val="0"/>
      <w:divBdr>
        <w:top w:val="none" w:sz="0" w:space="0" w:color="auto"/>
        <w:left w:val="none" w:sz="0" w:space="0" w:color="auto"/>
        <w:bottom w:val="none" w:sz="0" w:space="0" w:color="auto"/>
        <w:right w:val="none" w:sz="0" w:space="0" w:color="auto"/>
      </w:divBdr>
    </w:div>
    <w:div w:id="36248054">
      <w:bodyDiv w:val="1"/>
      <w:marLeft w:val="0"/>
      <w:marRight w:val="0"/>
      <w:marTop w:val="0"/>
      <w:marBottom w:val="0"/>
      <w:divBdr>
        <w:top w:val="none" w:sz="0" w:space="0" w:color="auto"/>
        <w:left w:val="none" w:sz="0" w:space="0" w:color="auto"/>
        <w:bottom w:val="none" w:sz="0" w:space="0" w:color="auto"/>
        <w:right w:val="none" w:sz="0" w:space="0" w:color="auto"/>
      </w:divBdr>
    </w:div>
    <w:div w:id="40905952">
      <w:bodyDiv w:val="1"/>
      <w:marLeft w:val="0"/>
      <w:marRight w:val="0"/>
      <w:marTop w:val="0"/>
      <w:marBottom w:val="0"/>
      <w:divBdr>
        <w:top w:val="none" w:sz="0" w:space="0" w:color="auto"/>
        <w:left w:val="none" w:sz="0" w:space="0" w:color="auto"/>
        <w:bottom w:val="none" w:sz="0" w:space="0" w:color="auto"/>
        <w:right w:val="none" w:sz="0" w:space="0" w:color="auto"/>
      </w:divBdr>
    </w:div>
    <w:div w:id="84616059">
      <w:bodyDiv w:val="1"/>
      <w:marLeft w:val="0"/>
      <w:marRight w:val="0"/>
      <w:marTop w:val="0"/>
      <w:marBottom w:val="0"/>
      <w:divBdr>
        <w:top w:val="none" w:sz="0" w:space="0" w:color="auto"/>
        <w:left w:val="none" w:sz="0" w:space="0" w:color="auto"/>
        <w:bottom w:val="none" w:sz="0" w:space="0" w:color="auto"/>
        <w:right w:val="none" w:sz="0" w:space="0" w:color="auto"/>
      </w:divBdr>
    </w:div>
    <w:div w:id="98573521">
      <w:bodyDiv w:val="1"/>
      <w:marLeft w:val="0"/>
      <w:marRight w:val="0"/>
      <w:marTop w:val="0"/>
      <w:marBottom w:val="0"/>
      <w:divBdr>
        <w:top w:val="none" w:sz="0" w:space="0" w:color="auto"/>
        <w:left w:val="none" w:sz="0" w:space="0" w:color="auto"/>
        <w:bottom w:val="none" w:sz="0" w:space="0" w:color="auto"/>
        <w:right w:val="none" w:sz="0" w:space="0" w:color="auto"/>
      </w:divBdr>
    </w:div>
    <w:div w:id="107511678">
      <w:bodyDiv w:val="1"/>
      <w:marLeft w:val="0"/>
      <w:marRight w:val="0"/>
      <w:marTop w:val="0"/>
      <w:marBottom w:val="0"/>
      <w:divBdr>
        <w:top w:val="none" w:sz="0" w:space="0" w:color="auto"/>
        <w:left w:val="none" w:sz="0" w:space="0" w:color="auto"/>
        <w:bottom w:val="none" w:sz="0" w:space="0" w:color="auto"/>
        <w:right w:val="none" w:sz="0" w:space="0" w:color="auto"/>
      </w:divBdr>
    </w:div>
    <w:div w:id="140196152">
      <w:bodyDiv w:val="1"/>
      <w:marLeft w:val="0"/>
      <w:marRight w:val="0"/>
      <w:marTop w:val="0"/>
      <w:marBottom w:val="0"/>
      <w:divBdr>
        <w:top w:val="none" w:sz="0" w:space="0" w:color="auto"/>
        <w:left w:val="none" w:sz="0" w:space="0" w:color="auto"/>
        <w:bottom w:val="none" w:sz="0" w:space="0" w:color="auto"/>
        <w:right w:val="none" w:sz="0" w:space="0" w:color="auto"/>
      </w:divBdr>
    </w:div>
    <w:div w:id="226186194">
      <w:bodyDiv w:val="1"/>
      <w:marLeft w:val="0"/>
      <w:marRight w:val="0"/>
      <w:marTop w:val="0"/>
      <w:marBottom w:val="0"/>
      <w:divBdr>
        <w:top w:val="none" w:sz="0" w:space="0" w:color="auto"/>
        <w:left w:val="none" w:sz="0" w:space="0" w:color="auto"/>
        <w:bottom w:val="none" w:sz="0" w:space="0" w:color="auto"/>
        <w:right w:val="none" w:sz="0" w:space="0" w:color="auto"/>
      </w:divBdr>
    </w:div>
    <w:div w:id="237980671">
      <w:bodyDiv w:val="1"/>
      <w:marLeft w:val="0"/>
      <w:marRight w:val="0"/>
      <w:marTop w:val="0"/>
      <w:marBottom w:val="0"/>
      <w:divBdr>
        <w:top w:val="none" w:sz="0" w:space="0" w:color="auto"/>
        <w:left w:val="none" w:sz="0" w:space="0" w:color="auto"/>
        <w:bottom w:val="none" w:sz="0" w:space="0" w:color="auto"/>
        <w:right w:val="none" w:sz="0" w:space="0" w:color="auto"/>
      </w:divBdr>
    </w:div>
    <w:div w:id="248732454">
      <w:bodyDiv w:val="1"/>
      <w:marLeft w:val="0"/>
      <w:marRight w:val="0"/>
      <w:marTop w:val="0"/>
      <w:marBottom w:val="0"/>
      <w:divBdr>
        <w:top w:val="none" w:sz="0" w:space="0" w:color="auto"/>
        <w:left w:val="none" w:sz="0" w:space="0" w:color="auto"/>
        <w:bottom w:val="none" w:sz="0" w:space="0" w:color="auto"/>
        <w:right w:val="none" w:sz="0" w:space="0" w:color="auto"/>
      </w:divBdr>
    </w:div>
    <w:div w:id="289896868">
      <w:bodyDiv w:val="1"/>
      <w:marLeft w:val="0"/>
      <w:marRight w:val="0"/>
      <w:marTop w:val="0"/>
      <w:marBottom w:val="0"/>
      <w:divBdr>
        <w:top w:val="none" w:sz="0" w:space="0" w:color="auto"/>
        <w:left w:val="none" w:sz="0" w:space="0" w:color="auto"/>
        <w:bottom w:val="none" w:sz="0" w:space="0" w:color="auto"/>
        <w:right w:val="none" w:sz="0" w:space="0" w:color="auto"/>
      </w:divBdr>
    </w:div>
    <w:div w:id="293678650">
      <w:bodyDiv w:val="1"/>
      <w:marLeft w:val="0"/>
      <w:marRight w:val="0"/>
      <w:marTop w:val="0"/>
      <w:marBottom w:val="0"/>
      <w:divBdr>
        <w:top w:val="none" w:sz="0" w:space="0" w:color="auto"/>
        <w:left w:val="none" w:sz="0" w:space="0" w:color="auto"/>
        <w:bottom w:val="none" w:sz="0" w:space="0" w:color="auto"/>
        <w:right w:val="none" w:sz="0" w:space="0" w:color="auto"/>
      </w:divBdr>
    </w:div>
    <w:div w:id="371030551">
      <w:bodyDiv w:val="1"/>
      <w:marLeft w:val="0"/>
      <w:marRight w:val="0"/>
      <w:marTop w:val="0"/>
      <w:marBottom w:val="0"/>
      <w:divBdr>
        <w:top w:val="none" w:sz="0" w:space="0" w:color="auto"/>
        <w:left w:val="none" w:sz="0" w:space="0" w:color="auto"/>
        <w:bottom w:val="none" w:sz="0" w:space="0" w:color="auto"/>
        <w:right w:val="none" w:sz="0" w:space="0" w:color="auto"/>
      </w:divBdr>
    </w:div>
    <w:div w:id="385222655">
      <w:bodyDiv w:val="1"/>
      <w:marLeft w:val="0"/>
      <w:marRight w:val="0"/>
      <w:marTop w:val="0"/>
      <w:marBottom w:val="0"/>
      <w:divBdr>
        <w:top w:val="none" w:sz="0" w:space="0" w:color="auto"/>
        <w:left w:val="none" w:sz="0" w:space="0" w:color="auto"/>
        <w:bottom w:val="none" w:sz="0" w:space="0" w:color="auto"/>
        <w:right w:val="none" w:sz="0" w:space="0" w:color="auto"/>
      </w:divBdr>
    </w:div>
    <w:div w:id="387145747">
      <w:bodyDiv w:val="1"/>
      <w:marLeft w:val="0"/>
      <w:marRight w:val="0"/>
      <w:marTop w:val="0"/>
      <w:marBottom w:val="0"/>
      <w:divBdr>
        <w:top w:val="none" w:sz="0" w:space="0" w:color="auto"/>
        <w:left w:val="none" w:sz="0" w:space="0" w:color="auto"/>
        <w:bottom w:val="none" w:sz="0" w:space="0" w:color="auto"/>
        <w:right w:val="none" w:sz="0" w:space="0" w:color="auto"/>
      </w:divBdr>
    </w:div>
    <w:div w:id="468019174">
      <w:bodyDiv w:val="1"/>
      <w:marLeft w:val="0"/>
      <w:marRight w:val="0"/>
      <w:marTop w:val="0"/>
      <w:marBottom w:val="0"/>
      <w:divBdr>
        <w:top w:val="none" w:sz="0" w:space="0" w:color="auto"/>
        <w:left w:val="none" w:sz="0" w:space="0" w:color="auto"/>
        <w:bottom w:val="none" w:sz="0" w:space="0" w:color="auto"/>
        <w:right w:val="none" w:sz="0" w:space="0" w:color="auto"/>
      </w:divBdr>
    </w:div>
    <w:div w:id="486553372">
      <w:bodyDiv w:val="1"/>
      <w:marLeft w:val="0"/>
      <w:marRight w:val="0"/>
      <w:marTop w:val="0"/>
      <w:marBottom w:val="0"/>
      <w:divBdr>
        <w:top w:val="none" w:sz="0" w:space="0" w:color="auto"/>
        <w:left w:val="none" w:sz="0" w:space="0" w:color="auto"/>
        <w:bottom w:val="none" w:sz="0" w:space="0" w:color="auto"/>
        <w:right w:val="none" w:sz="0" w:space="0" w:color="auto"/>
      </w:divBdr>
    </w:div>
    <w:div w:id="554659316">
      <w:bodyDiv w:val="1"/>
      <w:marLeft w:val="0"/>
      <w:marRight w:val="0"/>
      <w:marTop w:val="0"/>
      <w:marBottom w:val="0"/>
      <w:divBdr>
        <w:top w:val="none" w:sz="0" w:space="0" w:color="auto"/>
        <w:left w:val="none" w:sz="0" w:space="0" w:color="auto"/>
        <w:bottom w:val="none" w:sz="0" w:space="0" w:color="auto"/>
        <w:right w:val="none" w:sz="0" w:space="0" w:color="auto"/>
      </w:divBdr>
    </w:div>
    <w:div w:id="554850663">
      <w:bodyDiv w:val="1"/>
      <w:marLeft w:val="0"/>
      <w:marRight w:val="0"/>
      <w:marTop w:val="0"/>
      <w:marBottom w:val="0"/>
      <w:divBdr>
        <w:top w:val="none" w:sz="0" w:space="0" w:color="auto"/>
        <w:left w:val="none" w:sz="0" w:space="0" w:color="auto"/>
        <w:bottom w:val="none" w:sz="0" w:space="0" w:color="auto"/>
        <w:right w:val="none" w:sz="0" w:space="0" w:color="auto"/>
      </w:divBdr>
    </w:div>
    <w:div w:id="559942671">
      <w:bodyDiv w:val="1"/>
      <w:marLeft w:val="0"/>
      <w:marRight w:val="0"/>
      <w:marTop w:val="0"/>
      <w:marBottom w:val="0"/>
      <w:divBdr>
        <w:top w:val="none" w:sz="0" w:space="0" w:color="auto"/>
        <w:left w:val="none" w:sz="0" w:space="0" w:color="auto"/>
        <w:bottom w:val="none" w:sz="0" w:space="0" w:color="auto"/>
        <w:right w:val="none" w:sz="0" w:space="0" w:color="auto"/>
      </w:divBdr>
    </w:div>
    <w:div w:id="567691845">
      <w:bodyDiv w:val="1"/>
      <w:marLeft w:val="0"/>
      <w:marRight w:val="0"/>
      <w:marTop w:val="0"/>
      <w:marBottom w:val="0"/>
      <w:divBdr>
        <w:top w:val="none" w:sz="0" w:space="0" w:color="auto"/>
        <w:left w:val="none" w:sz="0" w:space="0" w:color="auto"/>
        <w:bottom w:val="none" w:sz="0" w:space="0" w:color="auto"/>
        <w:right w:val="none" w:sz="0" w:space="0" w:color="auto"/>
      </w:divBdr>
    </w:div>
    <w:div w:id="615403979">
      <w:bodyDiv w:val="1"/>
      <w:marLeft w:val="0"/>
      <w:marRight w:val="0"/>
      <w:marTop w:val="0"/>
      <w:marBottom w:val="0"/>
      <w:divBdr>
        <w:top w:val="none" w:sz="0" w:space="0" w:color="auto"/>
        <w:left w:val="none" w:sz="0" w:space="0" w:color="auto"/>
        <w:bottom w:val="none" w:sz="0" w:space="0" w:color="auto"/>
        <w:right w:val="none" w:sz="0" w:space="0" w:color="auto"/>
      </w:divBdr>
    </w:div>
    <w:div w:id="623388953">
      <w:bodyDiv w:val="1"/>
      <w:marLeft w:val="0"/>
      <w:marRight w:val="0"/>
      <w:marTop w:val="0"/>
      <w:marBottom w:val="0"/>
      <w:divBdr>
        <w:top w:val="none" w:sz="0" w:space="0" w:color="auto"/>
        <w:left w:val="none" w:sz="0" w:space="0" w:color="auto"/>
        <w:bottom w:val="none" w:sz="0" w:space="0" w:color="auto"/>
        <w:right w:val="none" w:sz="0" w:space="0" w:color="auto"/>
      </w:divBdr>
    </w:div>
    <w:div w:id="667943334">
      <w:bodyDiv w:val="1"/>
      <w:marLeft w:val="0"/>
      <w:marRight w:val="0"/>
      <w:marTop w:val="0"/>
      <w:marBottom w:val="0"/>
      <w:divBdr>
        <w:top w:val="none" w:sz="0" w:space="0" w:color="auto"/>
        <w:left w:val="none" w:sz="0" w:space="0" w:color="auto"/>
        <w:bottom w:val="none" w:sz="0" w:space="0" w:color="auto"/>
        <w:right w:val="none" w:sz="0" w:space="0" w:color="auto"/>
      </w:divBdr>
    </w:div>
    <w:div w:id="683245412">
      <w:bodyDiv w:val="1"/>
      <w:marLeft w:val="0"/>
      <w:marRight w:val="0"/>
      <w:marTop w:val="0"/>
      <w:marBottom w:val="0"/>
      <w:divBdr>
        <w:top w:val="none" w:sz="0" w:space="0" w:color="auto"/>
        <w:left w:val="none" w:sz="0" w:space="0" w:color="auto"/>
        <w:bottom w:val="none" w:sz="0" w:space="0" w:color="auto"/>
        <w:right w:val="none" w:sz="0" w:space="0" w:color="auto"/>
      </w:divBdr>
    </w:div>
    <w:div w:id="707604415">
      <w:bodyDiv w:val="1"/>
      <w:marLeft w:val="0"/>
      <w:marRight w:val="0"/>
      <w:marTop w:val="0"/>
      <w:marBottom w:val="0"/>
      <w:divBdr>
        <w:top w:val="none" w:sz="0" w:space="0" w:color="auto"/>
        <w:left w:val="none" w:sz="0" w:space="0" w:color="auto"/>
        <w:bottom w:val="none" w:sz="0" w:space="0" w:color="auto"/>
        <w:right w:val="none" w:sz="0" w:space="0" w:color="auto"/>
      </w:divBdr>
    </w:div>
    <w:div w:id="724446274">
      <w:bodyDiv w:val="1"/>
      <w:marLeft w:val="0"/>
      <w:marRight w:val="0"/>
      <w:marTop w:val="0"/>
      <w:marBottom w:val="0"/>
      <w:divBdr>
        <w:top w:val="none" w:sz="0" w:space="0" w:color="auto"/>
        <w:left w:val="none" w:sz="0" w:space="0" w:color="auto"/>
        <w:bottom w:val="none" w:sz="0" w:space="0" w:color="auto"/>
        <w:right w:val="none" w:sz="0" w:space="0" w:color="auto"/>
      </w:divBdr>
    </w:div>
    <w:div w:id="756679683">
      <w:bodyDiv w:val="1"/>
      <w:marLeft w:val="0"/>
      <w:marRight w:val="0"/>
      <w:marTop w:val="0"/>
      <w:marBottom w:val="0"/>
      <w:divBdr>
        <w:top w:val="none" w:sz="0" w:space="0" w:color="auto"/>
        <w:left w:val="none" w:sz="0" w:space="0" w:color="auto"/>
        <w:bottom w:val="none" w:sz="0" w:space="0" w:color="auto"/>
        <w:right w:val="none" w:sz="0" w:space="0" w:color="auto"/>
      </w:divBdr>
    </w:div>
    <w:div w:id="759449324">
      <w:bodyDiv w:val="1"/>
      <w:marLeft w:val="0"/>
      <w:marRight w:val="0"/>
      <w:marTop w:val="0"/>
      <w:marBottom w:val="0"/>
      <w:divBdr>
        <w:top w:val="none" w:sz="0" w:space="0" w:color="auto"/>
        <w:left w:val="none" w:sz="0" w:space="0" w:color="auto"/>
        <w:bottom w:val="none" w:sz="0" w:space="0" w:color="auto"/>
        <w:right w:val="none" w:sz="0" w:space="0" w:color="auto"/>
      </w:divBdr>
    </w:div>
    <w:div w:id="774206745">
      <w:bodyDiv w:val="1"/>
      <w:marLeft w:val="0"/>
      <w:marRight w:val="0"/>
      <w:marTop w:val="0"/>
      <w:marBottom w:val="0"/>
      <w:divBdr>
        <w:top w:val="none" w:sz="0" w:space="0" w:color="auto"/>
        <w:left w:val="none" w:sz="0" w:space="0" w:color="auto"/>
        <w:bottom w:val="none" w:sz="0" w:space="0" w:color="auto"/>
        <w:right w:val="none" w:sz="0" w:space="0" w:color="auto"/>
      </w:divBdr>
    </w:div>
    <w:div w:id="788084385">
      <w:bodyDiv w:val="1"/>
      <w:marLeft w:val="0"/>
      <w:marRight w:val="0"/>
      <w:marTop w:val="0"/>
      <w:marBottom w:val="0"/>
      <w:divBdr>
        <w:top w:val="none" w:sz="0" w:space="0" w:color="auto"/>
        <w:left w:val="none" w:sz="0" w:space="0" w:color="auto"/>
        <w:bottom w:val="none" w:sz="0" w:space="0" w:color="auto"/>
        <w:right w:val="none" w:sz="0" w:space="0" w:color="auto"/>
      </w:divBdr>
    </w:div>
    <w:div w:id="797720416">
      <w:bodyDiv w:val="1"/>
      <w:marLeft w:val="0"/>
      <w:marRight w:val="0"/>
      <w:marTop w:val="0"/>
      <w:marBottom w:val="0"/>
      <w:divBdr>
        <w:top w:val="none" w:sz="0" w:space="0" w:color="auto"/>
        <w:left w:val="none" w:sz="0" w:space="0" w:color="auto"/>
        <w:bottom w:val="none" w:sz="0" w:space="0" w:color="auto"/>
        <w:right w:val="none" w:sz="0" w:space="0" w:color="auto"/>
      </w:divBdr>
    </w:div>
    <w:div w:id="800421258">
      <w:bodyDiv w:val="1"/>
      <w:marLeft w:val="0"/>
      <w:marRight w:val="0"/>
      <w:marTop w:val="0"/>
      <w:marBottom w:val="0"/>
      <w:divBdr>
        <w:top w:val="none" w:sz="0" w:space="0" w:color="auto"/>
        <w:left w:val="none" w:sz="0" w:space="0" w:color="auto"/>
        <w:bottom w:val="none" w:sz="0" w:space="0" w:color="auto"/>
        <w:right w:val="none" w:sz="0" w:space="0" w:color="auto"/>
      </w:divBdr>
    </w:div>
    <w:div w:id="812408101">
      <w:bodyDiv w:val="1"/>
      <w:marLeft w:val="0"/>
      <w:marRight w:val="0"/>
      <w:marTop w:val="0"/>
      <w:marBottom w:val="0"/>
      <w:divBdr>
        <w:top w:val="none" w:sz="0" w:space="0" w:color="auto"/>
        <w:left w:val="none" w:sz="0" w:space="0" w:color="auto"/>
        <w:bottom w:val="none" w:sz="0" w:space="0" w:color="auto"/>
        <w:right w:val="none" w:sz="0" w:space="0" w:color="auto"/>
      </w:divBdr>
    </w:div>
    <w:div w:id="817454001">
      <w:bodyDiv w:val="1"/>
      <w:marLeft w:val="0"/>
      <w:marRight w:val="0"/>
      <w:marTop w:val="0"/>
      <w:marBottom w:val="0"/>
      <w:divBdr>
        <w:top w:val="none" w:sz="0" w:space="0" w:color="auto"/>
        <w:left w:val="none" w:sz="0" w:space="0" w:color="auto"/>
        <w:bottom w:val="none" w:sz="0" w:space="0" w:color="auto"/>
        <w:right w:val="none" w:sz="0" w:space="0" w:color="auto"/>
      </w:divBdr>
    </w:div>
    <w:div w:id="817502553">
      <w:bodyDiv w:val="1"/>
      <w:marLeft w:val="0"/>
      <w:marRight w:val="0"/>
      <w:marTop w:val="0"/>
      <w:marBottom w:val="0"/>
      <w:divBdr>
        <w:top w:val="none" w:sz="0" w:space="0" w:color="auto"/>
        <w:left w:val="none" w:sz="0" w:space="0" w:color="auto"/>
        <w:bottom w:val="none" w:sz="0" w:space="0" w:color="auto"/>
        <w:right w:val="none" w:sz="0" w:space="0" w:color="auto"/>
      </w:divBdr>
    </w:div>
    <w:div w:id="958219505">
      <w:bodyDiv w:val="1"/>
      <w:marLeft w:val="0"/>
      <w:marRight w:val="0"/>
      <w:marTop w:val="0"/>
      <w:marBottom w:val="0"/>
      <w:divBdr>
        <w:top w:val="none" w:sz="0" w:space="0" w:color="auto"/>
        <w:left w:val="none" w:sz="0" w:space="0" w:color="auto"/>
        <w:bottom w:val="none" w:sz="0" w:space="0" w:color="auto"/>
        <w:right w:val="none" w:sz="0" w:space="0" w:color="auto"/>
      </w:divBdr>
    </w:div>
    <w:div w:id="963656254">
      <w:bodyDiv w:val="1"/>
      <w:marLeft w:val="0"/>
      <w:marRight w:val="0"/>
      <w:marTop w:val="0"/>
      <w:marBottom w:val="0"/>
      <w:divBdr>
        <w:top w:val="none" w:sz="0" w:space="0" w:color="auto"/>
        <w:left w:val="none" w:sz="0" w:space="0" w:color="auto"/>
        <w:bottom w:val="none" w:sz="0" w:space="0" w:color="auto"/>
        <w:right w:val="none" w:sz="0" w:space="0" w:color="auto"/>
      </w:divBdr>
    </w:div>
    <w:div w:id="998314955">
      <w:bodyDiv w:val="1"/>
      <w:marLeft w:val="0"/>
      <w:marRight w:val="0"/>
      <w:marTop w:val="0"/>
      <w:marBottom w:val="0"/>
      <w:divBdr>
        <w:top w:val="none" w:sz="0" w:space="0" w:color="auto"/>
        <w:left w:val="none" w:sz="0" w:space="0" w:color="auto"/>
        <w:bottom w:val="none" w:sz="0" w:space="0" w:color="auto"/>
        <w:right w:val="none" w:sz="0" w:space="0" w:color="auto"/>
      </w:divBdr>
    </w:div>
    <w:div w:id="1042948087">
      <w:bodyDiv w:val="1"/>
      <w:marLeft w:val="0"/>
      <w:marRight w:val="0"/>
      <w:marTop w:val="0"/>
      <w:marBottom w:val="0"/>
      <w:divBdr>
        <w:top w:val="none" w:sz="0" w:space="0" w:color="auto"/>
        <w:left w:val="none" w:sz="0" w:space="0" w:color="auto"/>
        <w:bottom w:val="none" w:sz="0" w:space="0" w:color="auto"/>
        <w:right w:val="none" w:sz="0" w:space="0" w:color="auto"/>
      </w:divBdr>
    </w:div>
    <w:div w:id="1081023907">
      <w:bodyDiv w:val="1"/>
      <w:marLeft w:val="0"/>
      <w:marRight w:val="0"/>
      <w:marTop w:val="0"/>
      <w:marBottom w:val="0"/>
      <w:divBdr>
        <w:top w:val="none" w:sz="0" w:space="0" w:color="auto"/>
        <w:left w:val="none" w:sz="0" w:space="0" w:color="auto"/>
        <w:bottom w:val="none" w:sz="0" w:space="0" w:color="auto"/>
        <w:right w:val="none" w:sz="0" w:space="0" w:color="auto"/>
      </w:divBdr>
    </w:div>
    <w:div w:id="1104226333">
      <w:bodyDiv w:val="1"/>
      <w:marLeft w:val="0"/>
      <w:marRight w:val="0"/>
      <w:marTop w:val="0"/>
      <w:marBottom w:val="0"/>
      <w:divBdr>
        <w:top w:val="none" w:sz="0" w:space="0" w:color="auto"/>
        <w:left w:val="none" w:sz="0" w:space="0" w:color="auto"/>
        <w:bottom w:val="none" w:sz="0" w:space="0" w:color="auto"/>
        <w:right w:val="none" w:sz="0" w:space="0" w:color="auto"/>
      </w:divBdr>
    </w:div>
    <w:div w:id="1177773923">
      <w:bodyDiv w:val="1"/>
      <w:marLeft w:val="0"/>
      <w:marRight w:val="0"/>
      <w:marTop w:val="0"/>
      <w:marBottom w:val="0"/>
      <w:divBdr>
        <w:top w:val="none" w:sz="0" w:space="0" w:color="auto"/>
        <w:left w:val="none" w:sz="0" w:space="0" w:color="auto"/>
        <w:bottom w:val="none" w:sz="0" w:space="0" w:color="auto"/>
        <w:right w:val="none" w:sz="0" w:space="0" w:color="auto"/>
      </w:divBdr>
    </w:div>
    <w:div w:id="1187449813">
      <w:bodyDiv w:val="1"/>
      <w:marLeft w:val="0"/>
      <w:marRight w:val="0"/>
      <w:marTop w:val="0"/>
      <w:marBottom w:val="0"/>
      <w:divBdr>
        <w:top w:val="none" w:sz="0" w:space="0" w:color="auto"/>
        <w:left w:val="none" w:sz="0" w:space="0" w:color="auto"/>
        <w:bottom w:val="none" w:sz="0" w:space="0" w:color="auto"/>
        <w:right w:val="none" w:sz="0" w:space="0" w:color="auto"/>
      </w:divBdr>
    </w:div>
    <w:div w:id="1194615135">
      <w:bodyDiv w:val="1"/>
      <w:marLeft w:val="0"/>
      <w:marRight w:val="0"/>
      <w:marTop w:val="0"/>
      <w:marBottom w:val="0"/>
      <w:divBdr>
        <w:top w:val="none" w:sz="0" w:space="0" w:color="auto"/>
        <w:left w:val="none" w:sz="0" w:space="0" w:color="auto"/>
        <w:bottom w:val="none" w:sz="0" w:space="0" w:color="auto"/>
        <w:right w:val="none" w:sz="0" w:space="0" w:color="auto"/>
      </w:divBdr>
    </w:div>
    <w:div w:id="1205363366">
      <w:bodyDiv w:val="1"/>
      <w:marLeft w:val="0"/>
      <w:marRight w:val="0"/>
      <w:marTop w:val="0"/>
      <w:marBottom w:val="0"/>
      <w:divBdr>
        <w:top w:val="none" w:sz="0" w:space="0" w:color="auto"/>
        <w:left w:val="none" w:sz="0" w:space="0" w:color="auto"/>
        <w:bottom w:val="none" w:sz="0" w:space="0" w:color="auto"/>
        <w:right w:val="none" w:sz="0" w:space="0" w:color="auto"/>
      </w:divBdr>
    </w:div>
    <w:div w:id="1249197330">
      <w:bodyDiv w:val="1"/>
      <w:marLeft w:val="0"/>
      <w:marRight w:val="0"/>
      <w:marTop w:val="0"/>
      <w:marBottom w:val="0"/>
      <w:divBdr>
        <w:top w:val="none" w:sz="0" w:space="0" w:color="auto"/>
        <w:left w:val="none" w:sz="0" w:space="0" w:color="auto"/>
        <w:bottom w:val="none" w:sz="0" w:space="0" w:color="auto"/>
        <w:right w:val="none" w:sz="0" w:space="0" w:color="auto"/>
      </w:divBdr>
    </w:div>
    <w:div w:id="1278223688">
      <w:bodyDiv w:val="1"/>
      <w:marLeft w:val="0"/>
      <w:marRight w:val="0"/>
      <w:marTop w:val="0"/>
      <w:marBottom w:val="0"/>
      <w:divBdr>
        <w:top w:val="none" w:sz="0" w:space="0" w:color="auto"/>
        <w:left w:val="none" w:sz="0" w:space="0" w:color="auto"/>
        <w:bottom w:val="none" w:sz="0" w:space="0" w:color="auto"/>
        <w:right w:val="none" w:sz="0" w:space="0" w:color="auto"/>
      </w:divBdr>
    </w:div>
    <w:div w:id="1312641682">
      <w:bodyDiv w:val="1"/>
      <w:marLeft w:val="0"/>
      <w:marRight w:val="0"/>
      <w:marTop w:val="0"/>
      <w:marBottom w:val="0"/>
      <w:divBdr>
        <w:top w:val="none" w:sz="0" w:space="0" w:color="auto"/>
        <w:left w:val="none" w:sz="0" w:space="0" w:color="auto"/>
        <w:bottom w:val="none" w:sz="0" w:space="0" w:color="auto"/>
        <w:right w:val="none" w:sz="0" w:space="0" w:color="auto"/>
      </w:divBdr>
    </w:div>
    <w:div w:id="1379433658">
      <w:bodyDiv w:val="1"/>
      <w:marLeft w:val="0"/>
      <w:marRight w:val="0"/>
      <w:marTop w:val="0"/>
      <w:marBottom w:val="0"/>
      <w:divBdr>
        <w:top w:val="none" w:sz="0" w:space="0" w:color="auto"/>
        <w:left w:val="none" w:sz="0" w:space="0" w:color="auto"/>
        <w:bottom w:val="none" w:sz="0" w:space="0" w:color="auto"/>
        <w:right w:val="none" w:sz="0" w:space="0" w:color="auto"/>
      </w:divBdr>
    </w:div>
    <w:div w:id="1404640622">
      <w:bodyDiv w:val="1"/>
      <w:marLeft w:val="0"/>
      <w:marRight w:val="0"/>
      <w:marTop w:val="0"/>
      <w:marBottom w:val="0"/>
      <w:divBdr>
        <w:top w:val="none" w:sz="0" w:space="0" w:color="auto"/>
        <w:left w:val="none" w:sz="0" w:space="0" w:color="auto"/>
        <w:bottom w:val="none" w:sz="0" w:space="0" w:color="auto"/>
        <w:right w:val="none" w:sz="0" w:space="0" w:color="auto"/>
      </w:divBdr>
    </w:div>
    <w:div w:id="1429277968">
      <w:bodyDiv w:val="1"/>
      <w:marLeft w:val="0"/>
      <w:marRight w:val="0"/>
      <w:marTop w:val="0"/>
      <w:marBottom w:val="0"/>
      <w:divBdr>
        <w:top w:val="none" w:sz="0" w:space="0" w:color="auto"/>
        <w:left w:val="none" w:sz="0" w:space="0" w:color="auto"/>
        <w:bottom w:val="none" w:sz="0" w:space="0" w:color="auto"/>
        <w:right w:val="none" w:sz="0" w:space="0" w:color="auto"/>
      </w:divBdr>
    </w:div>
    <w:div w:id="1437409553">
      <w:bodyDiv w:val="1"/>
      <w:marLeft w:val="0"/>
      <w:marRight w:val="0"/>
      <w:marTop w:val="0"/>
      <w:marBottom w:val="0"/>
      <w:divBdr>
        <w:top w:val="none" w:sz="0" w:space="0" w:color="auto"/>
        <w:left w:val="none" w:sz="0" w:space="0" w:color="auto"/>
        <w:bottom w:val="none" w:sz="0" w:space="0" w:color="auto"/>
        <w:right w:val="none" w:sz="0" w:space="0" w:color="auto"/>
      </w:divBdr>
    </w:div>
    <w:div w:id="1447694899">
      <w:bodyDiv w:val="1"/>
      <w:marLeft w:val="0"/>
      <w:marRight w:val="0"/>
      <w:marTop w:val="0"/>
      <w:marBottom w:val="0"/>
      <w:divBdr>
        <w:top w:val="none" w:sz="0" w:space="0" w:color="auto"/>
        <w:left w:val="none" w:sz="0" w:space="0" w:color="auto"/>
        <w:bottom w:val="none" w:sz="0" w:space="0" w:color="auto"/>
        <w:right w:val="none" w:sz="0" w:space="0" w:color="auto"/>
      </w:divBdr>
    </w:div>
    <w:div w:id="1497768159">
      <w:bodyDiv w:val="1"/>
      <w:marLeft w:val="0"/>
      <w:marRight w:val="0"/>
      <w:marTop w:val="0"/>
      <w:marBottom w:val="0"/>
      <w:divBdr>
        <w:top w:val="none" w:sz="0" w:space="0" w:color="auto"/>
        <w:left w:val="none" w:sz="0" w:space="0" w:color="auto"/>
        <w:bottom w:val="none" w:sz="0" w:space="0" w:color="auto"/>
        <w:right w:val="none" w:sz="0" w:space="0" w:color="auto"/>
      </w:divBdr>
    </w:div>
    <w:div w:id="1510606664">
      <w:bodyDiv w:val="1"/>
      <w:marLeft w:val="0"/>
      <w:marRight w:val="0"/>
      <w:marTop w:val="0"/>
      <w:marBottom w:val="0"/>
      <w:divBdr>
        <w:top w:val="none" w:sz="0" w:space="0" w:color="auto"/>
        <w:left w:val="none" w:sz="0" w:space="0" w:color="auto"/>
        <w:bottom w:val="none" w:sz="0" w:space="0" w:color="auto"/>
        <w:right w:val="none" w:sz="0" w:space="0" w:color="auto"/>
      </w:divBdr>
    </w:div>
    <w:div w:id="1599022269">
      <w:bodyDiv w:val="1"/>
      <w:marLeft w:val="0"/>
      <w:marRight w:val="0"/>
      <w:marTop w:val="0"/>
      <w:marBottom w:val="0"/>
      <w:divBdr>
        <w:top w:val="none" w:sz="0" w:space="0" w:color="auto"/>
        <w:left w:val="none" w:sz="0" w:space="0" w:color="auto"/>
        <w:bottom w:val="none" w:sz="0" w:space="0" w:color="auto"/>
        <w:right w:val="none" w:sz="0" w:space="0" w:color="auto"/>
      </w:divBdr>
    </w:div>
    <w:div w:id="1602369594">
      <w:bodyDiv w:val="1"/>
      <w:marLeft w:val="0"/>
      <w:marRight w:val="0"/>
      <w:marTop w:val="0"/>
      <w:marBottom w:val="0"/>
      <w:divBdr>
        <w:top w:val="none" w:sz="0" w:space="0" w:color="auto"/>
        <w:left w:val="none" w:sz="0" w:space="0" w:color="auto"/>
        <w:bottom w:val="none" w:sz="0" w:space="0" w:color="auto"/>
        <w:right w:val="none" w:sz="0" w:space="0" w:color="auto"/>
      </w:divBdr>
    </w:div>
    <w:div w:id="1632903202">
      <w:bodyDiv w:val="1"/>
      <w:marLeft w:val="0"/>
      <w:marRight w:val="0"/>
      <w:marTop w:val="0"/>
      <w:marBottom w:val="0"/>
      <w:divBdr>
        <w:top w:val="none" w:sz="0" w:space="0" w:color="auto"/>
        <w:left w:val="none" w:sz="0" w:space="0" w:color="auto"/>
        <w:bottom w:val="none" w:sz="0" w:space="0" w:color="auto"/>
        <w:right w:val="none" w:sz="0" w:space="0" w:color="auto"/>
      </w:divBdr>
    </w:div>
    <w:div w:id="1635136567">
      <w:bodyDiv w:val="1"/>
      <w:marLeft w:val="0"/>
      <w:marRight w:val="0"/>
      <w:marTop w:val="0"/>
      <w:marBottom w:val="0"/>
      <w:divBdr>
        <w:top w:val="none" w:sz="0" w:space="0" w:color="auto"/>
        <w:left w:val="none" w:sz="0" w:space="0" w:color="auto"/>
        <w:bottom w:val="none" w:sz="0" w:space="0" w:color="auto"/>
        <w:right w:val="none" w:sz="0" w:space="0" w:color="auto"/>
      </w:divBdr>
    </w:div>
    <w:div w:id="1662343881">
      <w:bodyDiv w:val="1"/>
      <w:marLeft w:val="0"/>
      <w:marRight w:val="0"/>
      <w:marTop w:val="0"/>
      <w:marBottom w:val="0"/>
      <w:divBdr>
        <w:top w:val="none" w:sz="0" w:space="0" w:color="auto"/>
        <w:left w:val="none" w:sz="0" w:space="0" w:color="auto"/>
        <w:bottom w:val="none" w:sz="0" w:space="0" w:color="auto"/>
        <w:right w:val="none" w:sz="0" w:space="0" w:color="auto"/>
      </w:divBdr>
    </w:div>
    <w:div w:id="1675105037">
      <w:bodyDiv w:val="1"/>
      <w:marLeft w:val="0"/>
      <w:marRight w:val="0"/>
      <w:marTop w:val="0"/>
      <w:marBottom w:val="0"/>
      <w:divBdr>
        <w:top w:val="none" w:sz="0" w:space="0" w:color="auto"/>
        <w:left w:val="none" w:sz="0" w:space="0" w:color="auto"/>
        <w:bottom w:val="none" w:sz="0" w:space="0" w:color="auto"/>
        <w:right w:val="none" w:sz="0" w:space="0" w:color="auto"/>
      </w:divBdr>
    </w:div>
    <w:div w:id="1704550511">
      <w:bodyDiv w:val="1"/>
      <w:marLeft w:val="0"/>
      <w:marRight w:val="0"/>
      <w:marTop w:val="0"/>
      <w:marBottom w:val="0"/>
      <w:divBdr>
        <w:top w:val="none" w:sz="0" w:space="0" w:color="auto"/>
        <w:left w:val="none" w:sz="0" w:space="0" w:color="auto"/>
        <w:bottom w:val="none" w:sz="0" w:space="0" w:color="auto"/>
        <w:right w:val="none" w:sz="0" w:space="0" w:color="auto"/>
      </w:divBdr>
    </w:div>
    <w:div w:id="1709988078">
      <w:bodyDiv w:val="1"/>
      <w:marLeft w:val="0"/>
      <w:marRight w:val="0"/>
      <w:marTop w:val="0"/>
      <w:marBottom w:val="0"/>
      <w:divBdr>
        <w:top w:val="none" w:sz="0" w:space="0" w:color="auto"/>
        <w:left w:val="none" w:sz="0" w:space="0" w:color="auto"/>
        <w:bottom w:val="none" w:sz="0" w:space="0" w:color="auto"/>
        <w:right w:val="none" w:sz="0" w:space="0" w:color="auto"/>
      </w:divBdr>
    </w:div>
    <w:div w:id="1714500304">
      <w:bodyDiv w:val="1"/>
      <w:marLeft w:val="0"/>
      <w:marRight w:val="0"/>
      <w:marTop w:val="0"/>
      <w:marBottom w:val="0"/>
      <w:divBdr>
        <w:top w:val="none" w:sz="0" w:space="0" w:color="auto"/>
        <w:left w:val="none" w:sz="0" w:space="0" w:color="auto"/>
        <w:bottom w:val="none" w:sz="0" w:space="0" w:color="auto"/>
        <w:right w:val="none" w:sz="0" w:space="0" w:color="auto"/>
      </w:divBdr>
    </w:div>
    <w:div w:id="1782457158">
      <w:bodyDiv w:val="1"/>
      <w:marLeft w:val="0"/>
      <w:marRight w:val="0"/>
      <w:marTop w:val="0"/>
      <w:marBottom w:val="0"/>
      <w:divBdr>
        <w:top w:val="none" w:sz="0" w:space="0" w:color="auto"/>
        <w:left w:val="none" w:sz="0" w:space="0" w:color="auto"/>
        <w:bottom w:val="none" w:sz="0" w:space="0" w:color="auto"/>
        <w:right w:val="none" w:sz="0" w:space="0" w:color="auto"/>
      </w:divBdr>
    </w:div>
    <w:div w:id="1824927056">
      <w:bodyDiv w:val="1"/>
      <w:marLeft w:val="0"/>
      <w:marRight w:val="0"/>
      <w:marTop w:val="0"/>
      <w:marBottom w:val="0"/>
      <w:divBdr>
        <w:top w:val="none" w:sz="0" w:space="0" w:color="auto"/>
        <w:left w:val="none" w:sz="0" w:space="0" w:color="auto"/>
        <w:bottom w:val="none" w:sz="0" w:space="0" w:color="auto"/>
        <w:right w:val="none" w:sz="0" w:space="0" w:color="auto"/>
      </w:divBdr>
    </w:div>
    <w:div w:id="1825315648">
      <w:bodyDiv w:val="1"/>
      <w:marLeft w:val="0"/>
      <w:marRight w:val="0"/>
      <w:marTop w:val="0"/>
      <w:marBottom w:val="0"/>
      <w:divBdr>
        <w:top w:val="none" w:sz="0" w:space="0" w:color="auto"/>
        <w:left w:val="none" w:sz="0" w:space="0" w:color="auto"/>
        <w:bottom w:val="none" w:sz="0" w:space="0" w:color="auto"/>
        <w:right w:val="none" w:sz="0" w:space="0" w:color="auto"/>
      </w:divBdr>
    </w:div>
    <w:div w:id="1877236211">
      <w:bodyDiv w:val="1"/>
      <w:marLeft w:val="0"/>
      <w:marRight w:val="0"/>
      <w:marTop w:val="0"/>
      <w:marBottom w:val="0"/>
      <w:divBdr>
        <w:top w:val="none" w:sz="0" w:space="0" w:color="auto"/>
        <w:left w:val="none" w:sz="0" w:space="0" w:color="auto"/>
        <w:bottom w:val="none" w:sz="0" w:space="0" w:color="auto"/>
        <w:right w:val="none" w:sz="0" w:space="0" w:color="auto"/>
      </w:divBdr>
    </w:div>
    <w:div w:id="1879657826">
      <w:bodyDiv w:val="1"/>
      <w:marLeft w:val="0"/>
      <w:marRight w:val="0"/>
      <w:marTop w:val="0"/>
      <w:marBottom w:val="0"/>
      <w:divBdr>
        <w:top w:val="none" w:sz="0" w:space="0" w:color="auto"/>
        <w:left w:val="none" w:sz="0" w:space="0" w:color="auto"/>
        <w:bottom w:val="none" w:sz="0" w:space="0" w:color="auto"/>
        <w:right w:val="none" w:sz="0" w:space="0" w:color="auto"/>
      </w:divBdr>
    </w:div>
    <w:div w:id="1894735891">
      <w:bodyDiv w:val="1"/>
      <w:marLeft w:val="0"/>
      <w:marRight w:val="0"/>
      <w:marTop w:val="0"/>
      <w:marBottom w:val="0"/>
      <w:divBdr>
        <w:top w:val="none" w:sz="0" w:space="0" w:color="auto"/>
        <w:left w:val="none" w:sz="0" w:space="0" w:color="auto"/>
        <w:bottom w:val="none" w:sz="0" w:space="0" w:color="auto"/>
        <w:right w:val="none" w:sz="0" w:space="0" w:color="auto"/>
      </w:divBdr>
    </w:div>
    <w:div w:id="2020307860">
      <w:bodyDiv w:val="1"/>
      <w:marLeft w:val="0"/>
      <w:marRight w:val="0"/>
      <w:marTop w:val="0"/>
      <w:marBottom w:val="0"/>
      <w:divBdr>
        <w:top w:val="none" w:sz="0" w:space="0" w:color="auto"/>
        <w:left w:val="none" w:sz="0" w:space="0" w:color="auto"/>
        <w:bottom w:val="none" w:sz="0" w:space="0" w:color="auto"/>
        <w:right w:val="none" w:sz="0" w:space="0" w:color="auto"/>
      </w:divBdr>
    </w:div>
    <w:div w:id="2032024240">
      <w:bodyDiv w:val="1"/>
      <w:marLeft w:val="0"/>
      <w:marRight w:val="0"/>
      <w:marTop w:val="0"/>
      <w:marBottom w:val="0"/>
      <w:divBdr>
        <w:top w:val="none" w:sz="0" w:space="0" w:color="auto"/>
        <w:left w:val="none" w:sz="0" w:space="0" w:color="auto"/>
        <w:bottom w:val="none" w:sz="0" w:space="0" w:color="auto"/>
        <w:right w:val="none" w:sz="0" w:space="0" w:color="auto"/>
      </w:divBdr>
    </w:div>
    <w:div w:id="2041398713">
      <w:bodyDiv w:val="1"/>
      <w:marLeft w:val="0"/>
      <w:marRight w:val="0"/>
      <w:marTop w:val="0"/>
      <w:marBottom w:val="0"/>
      <w:divBdr>
        <w:top w:val="none" w:sz="0" w:space="0" w:color="auto"/>
        <w:left w:val="none" w:sz="0" w:space="0" w:color="auto"/>
        <w:bottom w:val="none" w:sz="0" w:space="0" w:color="auto"/>
        <w:right w:val="none" w:sz="0" w:space="0" w:color="auto"/>
      </w:divBdr>
    </w:div>
    <w:div w:id="2088913264">
      <w:bodyDiv w:val="1"/>
      <w:marLeft w:val="0"/>
      <w:marRight w:val="0"/>
      <w:marTop w:val="0"/>
      <w:marBottom w:val="0"/>
      <w:divBdr>
        <w:top w:val="none" w:sz="0" w:space="0" w:color="auto"/>
        <w:left w:val="none" w:sz="0" w:space="0" w:color="auto"/>
        <w:bottom w:val="none" w:sz="0" w:space="0" w:color="auto"/>
        <w:right w:val="none" w:sz="0" w:space="0" w:color="auto"/>
      </w:divBdr>
    </w:div>
    <w:div w:id="2092772706">
      <w:bodyDiv w:val="1"/>
      <w:marLeft w:val="0"/>
      <w:marRight w:val="0"/>
      <w:marTop w:val="0"/>
      <w:marBottom w:val="0"/>
      <w:divBdr>
        <w:top w:val="none" w:sz="0" w:space="0" w:color="auto"/>
        <w:left w:val="none" w:sz="0" w:space="0" w:color="auto"/>
        <w:bottom w:val="none" w:sz="0" w:space="0" w:color="auto"/>
        <w:right w:val="none" w:sz="0" w:space="0" w:color="auto"/>
      </w:divBdr>
    </w:div>
    <w:div w:id="2131588003">
      <w:bodyDiv w:val="1"/>
      <w:marLeft w:val="0"/>
      <w:marRight w:val="0"/>
      <w:marTop w:val="0"/>
      <w:marBottom w:val="0"/>
      <w:divBdr>
        <w:top w:val="none" w:sz="0" w:space="0" w:color="auto"/>
        <w:left w:val="none" w:sz="0" w:space="0" w:color="auto"/>
        <w:bottom w:val="none" w:sz="0" w:space="0" w:color="auto"/>
        <w:right w:val="none" w:sz="0" w:space="0" w:color="auto"/>
      </w:divBdr>
    </w:div>
    <w:div w:id="2134666408">
      <w:bodyDiv w:val="1"/>
      <w:marLeft w:val="0"/>
      <w:marRight w:val="0"/>
      <w:marTop w:val="0"/>
      <w:marBottom w:val="0"/>
      <w:divBdr>
        <w:top w:val="none" w:sz="0" w:space="0" w:color="auto"/>
        <w:left w:val="none" w:sz="0" w:space="0" w:color="auto"/>
        <w:bottom w:val="none" w:sz="0" w:space="0" w:color="auto"/>
        <w:right w:val="none" w:sz="0" w:space="0" w:color="auto"/>
      </w:divBdr>
    </w:div>
    <w:div w:id="214735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4/cop-14-dec-37-fr.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c/1a72/592e/d30b24b3bd2777831f1921f2/cp-exmop-01-01-fr.pdf" TargetMode="External"/><Relationship Id="rId2" Type="http://schemas.openxmlformats.org/officeDocument/2006/relationships/hyperlink" Target="https://www.cbd.int/doc/c/1a72/592e/d30b24b3bd2777831f1921f2/cp-exmop-01-01-fr.pdf" TargetMode="External"/><Relationship Id="rId1" Type="http://schemas.openxmlformats.org/officeDocument/2006/relationships/hyperlink" Target="https://www.cbd.int/doc/c/1a72/592e/d30b24b3bd2777831f1921f2/cp-exmop-01-01-fr.pdf" TargetMode="External"/><Relationship Id="rId6" Type="http://schemas.openxmlformats.org/officeDocument/2006/relationships/hyperlink" Target="https://www.cbd.int/doc/c/e466/c3d5/0a58d8f0cca7416c9172b4c7/excop-02-01-add1-fr.pdf" TargetMode="External"/><Relationship Id="rId5" Type="http://schemas.openxmlformats.org/officeDocument/2006/relationships/hyperlink" Target="https://www.cbd.int/doc/c/e466/c3d5/0a58d8f0cca7416c9172b4c7/excop-02-01-add1-fr.pdf" TargetMode="External"/><Relationship Id="rId4" Type="http://schemas.openxmlformats.org/officeDocument/2006/relationships/hyperlink" Target="https://www.cbd.int/doc/c/e466/c3d5/0a58d8f0cca7416c9172b4c7/excop-02-01-add1-fr.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97CFDC4DB7545F089AB6FE4607922AF"/>
        <w:category>
          <w:name w:val="General"/>
          <w:gallery w:val="placeholder"/>
        </w:category>
        <w:types>
          <w:type w:val="bbPlcHdr"/>
        </w:types>
        <w:behaviors>
          <w:behavior w:val="content"/>
        </w:behaviors>
        <w:guid w:val="{753BAB8B-C358-44BE-8289-814DD4DCD7E7}"/>
      </w:docPartPr>
      <w:docPartBody>
        <w:p w:rsidR="007C6D8E" w:rsidRDefault="00A93287" w:rsidP="00A93287">
          <w:pPr>
            <w:pStyle w:val="C97CFDC4DB7545F089AB6FE4607922AF"/>
          </w:pPr>
          <w:r w:rsidRPr="007E02EB">
            <w:rPr>
              <w:rStyle w:val="PlaceholderText"/>
            </w:rPr>
            <w:t>[Subject]</w:t>
          </w:r>
        </w:p>
      </w:docPartBody>
    </w:docPart>
    <w:docPart>
      <w:docPartPr>
        <w:name w:val="05FEA5A2EE9246D1BAE95F92BCFD8609"/>
        <w:category>
          <w:name w:val="General"/>
          <w:gallery w:val="placeholder"/>
        </w:category>
        <w:types>
          <w:type w:val="bbPlcHdr"/>
        </w:types>
        <w:behaviors>
          <w:behavior w:val="content"/>
        </w:behaviors>
        <w:guid w:val="{461DD367-AEC1-40B0-817A-657E7B5318CC}"/>
      </w:docPartPr>
      <w:docPartBody>
        <w:p w:rsidR="00ED7BA9" w:rsidRDefault="00821B57">
          <w:r w:rsidRPr="00FD577A">
            <w:rPr>
              <w:rStyle w:val="PlaceholderText"/>
            </w:rPr>
            <w:t>[Subject]</w:t>
          </w:r>
        </w:p>
      </w:docPartBody>
    </w:docPart>
    <w:docPart>
      <w:docPartPr>
        <w:name w:val="6CFC5E2F02354C2C8E983EEEA5016617"/>
        <w:category>
          <w:name w:val="General"/>
          <w:gallery w:val="placeholder"/>
        </w:category>
        <w:types>
          <w:type w:val="bbPlcHdr"/>
        </w:types>
        <w:behaviors>
          <w:behavior w:val="content"/>
        </w:behaviors>
        <w:guid w:val="{1CA74211-91FB-426C-9EEB-63288A0791A8}"/>
      </w:docPartPr>
      <w:docPartBody>
        <w:p w:rsidR="00ED7BA9" w:rsidRDefault="00821B57" w:rsidP="00821B57">
          <w:pPr>
            <w:pStyle w:val="6CFC5E2F02354C2C8E983EEEA5016617"/>
          </w:pPr>
          <w:r w:rsidRPr="00FD577A">
            <w:rPr>
              <w:rStyle w:val="PlaceholderText"/>
            </w:rPr>
            <w:t>[Subject]</w:t>
          </w:r>
        </w:p>
      </w:docPartBody>
    </w:docPart>
    <w:docPart>
      <w:docPartPr>
        <w:name w:val="79B703A48DA38946AFC08A04EA46B402"/>
        <w:category>
          <w:name w:val="Général"/>
          <w:gallery w:val="placeholder"/>
        </w:category>
        <w:types>
          <w:type w:val="bbPlcHdr"/>
        </w:types>
        <w:behaviors>
          <w:behavior w:val="content"/>
        </w:behaviors>
        <w:guid w:val="{36FCA006-7752-CE41-8F4C-252A7C3AC6FB}"/>
      </w:docPartPr>
      <w:docPartBody>
        <w:p w:rsidR="00DC022F" w:rsidRDefault="00ED7BA9" w:rsidP="00ED7BA9">
          <w:pPr>
            <w:pStyle w:val="79B703A48DA38946AFC08A04EA46B402"/>
          </w:pPr>
          <w:r w:rsidRPr="00FD577A">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charset w:val="80"/>
    <w:family w:val="roman"/>
    <w:pitch w:val="variable"/>
    <w:sig w:usb0="800002E7" w:usb1="2AC7FCFF" w:usb2="00000012" w:usb3="00000000" w:csb0="0002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Lucida Grande">
    <w:charset w:val="00"/>
    <w:family w:val="auto"/>
    <w:pitch w:val="variable"/>
    <w:sig w:usb0="E1000AEF" w:usb1="5000A1FF" w:usb2="00000000" w:usb3="00000000" w:csb0="000001BF" w:csb1="00000000"/>
  </w:font>
  <w:font w:name="Malgun Gothic">
    <w:panose1 w:val="020B0503020000020004"/>
    <w:charset w:val="81"/>
    <w:family w:val="swiss"/>
    <w:pitch w:val="variable"/>
    <w:sig w:usb0="900002AF" w:usb1="09D77CFB" w:usb2="00000012" w:usb3="00000000" w:csb0="00080001" w:csb1="00000000"/>
  </w:font>
  <w:font w:name="Angsana New">
    <w:panose1 w:val="02020603050405020304"/>
    <w:charset w:val="00"/>
    <w:family w:val="roman"/>
    <w:pitch w:val="variable"/>
    <w:sig w:usb0="81000003" w:usb1="00000000" w:usb2="00000000" w:usb3="00000000" w:csb0="0001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3287"/>
    <w:rsid w:val="00013C19"/>
    <w:rsid w:val="0005639D"/>
    <w:rsid w:val="000675F8"/>
    <w:rsid w:val="001928BE"/>
    <w:rsid w:val="001A04F8"/>
    <w:rsid w:val="001F13AC"/>
    <w:rsid w:val="00261379"/>
    <w:rsid w:val="0026180A"/>
    <w:rsid w:val="002F3E5D"/>
    <w:rsid w:val="002F6C69"/>
    <w:rsid w:val="00362C2A"/>
    <w:rsid w:val="00392B5E"/>
    <w:rsid w:val="003B1AB2"/>
    <w:rsid w:val="003B35E9"/>
    <w:rsid w:val="003C0FB5"/>
    <w:rsid w:val="00405D71"/>
    <w:rsid w:val="00456EC7"/>
    <w:rsid w:val="004672ED"/>
    <w:rsid w:val="00474990"/>
    <w:rsid w:val="005431BF"/>
    <w:rsid w:val="005518E5"/>
    <w:rsid w:val="005A4725"/>
    <w:rsid w:val="005A5AB5"/>
    <w:rsid w:val="005A67F6"/>
    <w:rsid w:val="005C077A"/>
    <w:rsid w:val="00614AA5"/>
    <w:rsid w:val="00620EAE"/>
    <w:rsid w:val="00656B15"/>
    <w:rsid w:val="006620F6"/>
    <w:rsid w:val="00687EB5"/>
    <w:rsid w:val="00693D57"/>
    <w:rsid w:val="006D2ECB"/>
    <w:rsid w:val="006D4384"/>
    <w:rsid w:val="0072782C"/>
    <w:rsid w:val="007570B5"/>
    <w:rsid w:val="007615DE"/>
    <w:rsid w:val="007A5767"/>
    <w:rsid w:val="007C6D8E"/>
    <w:rsid w:val="00821B57"/>
    <w:rsid w:val="00843A25"/>
    <w:rsid w:val="0094071B"/>
    <w:rsid w:val="009730A3"/>
    <w:rsid w:val="009A0018"/>
    <w:rsid w:val="009C1B69"/>
    <w:rsid w:val="009C36BA"/>
    <w:rsid w:val="00A93287"/>
    <w:rsid w:val="00AE58B1"/>
    <w:rsid w:val="00B47579"/>
    <w:rsid w:val="00B703A1"/>
    <w:rsid w:val="00BF5047"/>
    <w:rsid w:val="00C2320C"/>
    <w:rsid w:val="00C31730"/>
    <w:rsid w:val="00CB1FEB"/>
    <w:rsid w:val="00CE0CC0"/>
    <w:rsid w:val="00DC022F"/>
    <w:rsid w:val="00DF32E1"/>
    <w:rsid w:val="00E00CD5"/>
    <w:rsid w:val="00E036DC"/>
    <w:rsid w:val="00E338C9"/>
    <w:rsid w:val="00E44D43"/>
    <w:rsid w:val="00E54A1E"/>
    <w:rsid w:val="00E72777"/>
    <w:rsid w:val="00E80355"/>
    <w:rsid w:val="00E8517D"/>
    <w:rsid w:val="00EB11E6"/>
    <w:rsid w:val="00ED7BA9"/>
    <w:rsid w:val="00EE3C2F"/>
    <w:rsid w:val="00EF3032"/>
    <w:rsid w:val="00F05071"/>
    <w:rsid w:val="00FD69C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D7BA9"/>
    <w:rPr>
      <w:color w:val="808080"/>
    </w:rPr>
  </w:style>
  <w:style w:type="paragraph" w:customStyle="1" w:styleId="C54DBF67319345B0AD02CDD36F29952A">
    <w:name w:val="C54DBF67319345B0AD02CDD36F29952A"/>
    <w:rsid w:val="00A93287"/>
  </w:style>
  <w:style w:type="paragraph" w:customStyle="1" w:styleId="C97CFDC4DB7545F089AB6FE4607922AF">
    <w:name w:val="C97CFDC4DB7545F089AB6FE4607922AF"/>
    <w:rsid w:val="00A93287"/>
  </w:style>
  <w:style w:type="paragraph" w:customStyle="1" w:styleId="C729B8D40E9A4C508D02942AB83B5CA5">
    <w:name w:val="C729B8D40E9A4C508D02942AB83B5CA5"/>
    <w:rsid w:val="00C2320C"/>
    <w:rPr>
      <w:lang w:val="en-GB" w:eastAsia="en-GB"/>
    </w:rPr>
  </w:style>
  <w:style w:type="paragraph" w:customStyle="1" w:styleId="E8BED33A18C30F409AD9C65EF5204EB8">
    <w:name w:val="E8BED33A18C30F409AD9C65EF5204EB8"/>
    <w:rsid w:val="00405D71"/>
    <w:pPr>
      <w:spacing w:after="0" w:line="240" w:lineRule="auto"/>
    </w:pPr>
    <w:rPr>
      <w:sz w:val="24"/>
      <w:szCs w:val="24"/>
      <w:lang w:eastAsia="en-US"/>
    </w:rPr>
  </w:style>
  <w:style w:type="paragraph" w:customStyle="1" w:styleId="8F0948CFBDB5624390031F036F58F048">
    <w:name w:val="8F0948CFBDB5624390031F036F58F048"/>
    <w:rsid w:val="00405D71"/>
    <w:pPr>
      <w:spacing w:after="0" w:line="240" w:lineRule="auto"/>
    </w:pPr>
    <w:rPr>
      <w:sz w:val="24"/>
      <w:szCs w:val="24"/>
      <w:lang w:eastAsia="en-US"/>
    </w:rPr>
  </w:style>
  <w:style w:type="paragraph" w:customStyle="1" w:styleId="6CFC5E2F02354C2C8E983EEEA5016617">
    <w:name w:val="6CFC5E2F02354C2C8E983EEEA5016617"/>
    <w:rsid w:val="00821B57"/>
  </w:style>
  <w:style w:type="paragraph" w:customStyle="1" w:styleId="95E1D8743785F14AB2E541488B61B3F0">
    <w:name w:val="95E1D8743785F14AB2E541488B61B3F0"/>
    <w:rsid w:val="00ED7BA9"/>
    <w:pPr>
      <w:spacing w:after="0" w:line="240" w:lineRule="auto"/>
    </w:pPr>
    <w:rPr>
      <w:sz w:val="24"/>
      <w:szCs w:val="24"/>
      <w:lang w:val="fr-FR" w:eastAsia="fr-FR"/>
    </w:rPr>
  </w:style>
  <w:style w:type="paragraph" w:customStyle="1" w:styleId="79B703A48DA38946AFC08A04EA46B402">
    <w:name w:val="79B703A48DA38946AFC08A04EA46B402"/>
    <w:rsid w:val="00ED7BA9"/>
    <w:pPr>
      <w:spacing w:after="0" w:line="240" w:lineRule="auto"/>
    </w:pPr>
    <w:rPr>
      <w:sz w:val="24"/>
      <w:szCs w:val="24"/>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FFC8B-7CC1-4538-BF2C-8218FD264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647A16-9062-4D1B-A676-2042859233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10CFEE-0425-4BAB-87D0-EE56115F0C9B}">
  <ds:schemaRefs>
    <ds:schemaRef ds:uri="http://schemas.microsoft.com/sharepoint/v3/contenttype/forms"/>
  </ds:schemaRefs>
</ds:datastoreItem>
</file>

<file path=customXml/itemProps4.xml><?xml version="1.0" encoding="utf-8"?>
<ds:datastoreItem xmlns:ds="http://schemas.openxmlformats.org/officeDocument/2006/customXml" ds:itemID="{D89767C5-7503-4424-9D36-8BD21A4A9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561</TotalTime>
  <Pages>32</Pages>
  <Words>7994</Words>
  <Characters>45569</Characters>
  <Application>Microsoft Office Word</Application>
  <DocSecurity>0</DocSecurity>
  <Lines>379</Lines>
  <Paragraphs>106</Paragraphs>
  <ScaleCrop>false</ScaleCrop>
  <HeadingPairs>
    <vt:vector size="6" baseType="variant">
      <vt:variant>
        <vt:lpstr>Titre</vt:lpstr>
      </vt:variant>
      <vt:variant>
        <vt:i4>1</vt:i4>
      </vt:variant>
      <vt:variant>
        <vt:lpstr>Title</vt:lpstr>
      </vt:variant>
      <vt:variant>
        <vt:i4>1</vt:i4>
      </vt:variant>
      <vt:variant>
        <vt:lpstr>タイトル</vt:lpstr>
      </vt:variant>
      <vt:variant>
        <vt:i4>1</vt:i4>
      </vt:variant>
    </vt:vector>
  </HeadingPairs>
  <TitlesOfParts>
    <vt:vector size="3" baseType="lpstr">
      <vt:lpstr>PROPOSITION DE BUDGET INTÉRIMAIRE POUR LE PROGRAMME DE TRAVAIL DE LA CONVENTION SUR LA DIVERSITÉ BIOLOGIQUE, DU PROTOCOLE DE CARTAGENA SUR LA PRÉVENTION DES RISQUES BIOTECHNOLOGIES ET DU PROTOCOLE DE NAGOYA SUR L'ACCÈS ET LE PARTAGE DES AVANTAGES POUR L'A</vt:lpstr>
      <vt:lpstr>14/37.	Budget for the integrated programme of work of the Secretariat</vt:lpstr>
      <vt:lpstr>COP 14-Budget-Draft decisions-27Nov18 (revised 10 30pm)-clean</vt:lpstr>
    </vt:vector>
  </TitlesOfParts>
  <Company>SCBD</Company>
  <LinksUpToDate>false</LinksUpToDate>
  <CharactersWithSpaces>53457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BUDGET INTÉRIMAIRE POUR LE PROGRAMME DE TRAVAIL DE LA CONVENTION SUR LA DIVERSITÉ BIOLOGIQUE, DU PROTOCOLE DE CARTAGENA SUR LA PRÉVENTION DES RISQUES BIOTECHNOLOGIES ET DU PROTOCOLE DE NAGOYA SUR L'ACCÈS ET LE PARTAGE DES AVANTAGES POUR L'ANNÉE 2021</dc:title>
  <dc:subject>CBD/ExCOP/2/2 CBD/CP/ExMOP/1/2 CBD/NP/ExMOP/1/2</dc:subject>
  <dc:creator>COP 14</dc:creator>
  <cp:keywords>Administration of the Convention and budget for the trust funds, Convention on Biological Diversity, Cartagena Protocol on Biosafety, Nagoya Protocol on Access and Benefit-sharing</cp:keywords>
  <cp:lastModifiedBy>Xue He Yan</cp:lastModifiedBy>
  <cp:revision>304</cp:revision>
  <cp:lastPrinted>2020-09-13T11:55:00Z</cp:lastPrinted>
  <dcterms:created xsi:type="dcterms:W3CDTF">2020-09-10T20:07:00Z</dcterms:created>
  <dcterms:modified xsi:type="dcterms:W3CDTF">2020-09-22T21:07:00Z</dcterms:modified>
  <cp:contentStatus>ENERA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