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4391B" w14:paraId="50B503C9" w14:textId="77777777" w:rsidTr="0019402C">
        <w:trPr>
          <w:trHeight w:val="851"/>
        </w:trPr>
        <w:tc>
          <w:tcPr>
            <w:tcW w:w="465" w:type="pct"/>
            <w:tcBorders>
              <w:bottom w:val="single" w:sz="8" w:space="0" w:color="auto"/>
            </w:tcBorders>
            <w:vAlign w:val="bottom"/>
          </w:tcPr>
          <w:p w14:paraId="255C74E2" w14:textId="77777777" w:rsidR="00A96B21" w:rsidRPr="0084391B" w:rsidRDefault="00A96B21" w:rsidP="0019402C">
            <w:pPr>
              <w:spacing w:after="120"/>
              <w:jc w:val="left"/>
            </w:pPr>
            <w:bookmarkStart w:id="0" w:name="_Hlk137651738"/>
            <w:r w:rsidRPr="0084391B">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072CBA07" w:rsidR="00A96B21" w:rsidRPr="0084391B" w:rsidRDefault="0084391B" w:rsidP="0019402C">
            <w:pPr>
              <w:spacing w:after="120"/>
              <w:jc w:val="left"/>
            </w:pPr>
            <w:r w:rsidRPr="0084391B">
              <w:rPr>
                <w14:ligatures w14:val="standardContextual"/>
              </w:rPr>
              <w:drawing>
                <wp:inline distT="0" distB="0" distL="0" distR="0" wp14:anchorId="59E96067" wp14:editId="2F1E0ECF">
                  <wp:extent cx="611015" cy="349151"/>
                  <wp:effectExtent l="0" t="0" r="0" b="0"/>
                  <wp:docPr id="1780680426"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80426"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97B0D2C" w14:textId="606AF6E6" w:rsidR="00A96B21" w:rsidRPr="0084391B" w:rsidRDefault="00A96B21" w:rsidP="00184909">
            <w:pPr>
              <w:spacing w:after="120"/>
              <w:ind w:left="2021"/>
              <w:jc w:val="right"/>
              <w:rPr>
                <w:szCs w:val="22"/>
              </w:rPr>
            </w:pPr>
            <w:r w:rsidRPr="0084391B">
              <w:rPr>
                <w:sz w:val="40"/>
              </w:rPr>
              <w:t>CBD</w:t>
            </w:r>
            <w:r w:rsidRPr="0084391B">
              <w:t>/SBI/4/15</w:t>
            </w:r>
          </w:p>
        </w:tc>
      </w:tr>
      <w:tr w:rsidR="00A96B21" w:rsidRPr="0084391B" w14:paraId="2F2C9482" w14:textId="77777777" w:rsidTr="0019402C">
        <w:tc>
          <w:tcPr>
            <w:tcW w:w="2297" w:type="pct"/>
            <w:gridSpan w:val="2"/>
            <w:tcBorders>
              <w:top w:val="single" w:sz="8" w:space="0" w:color="auto"/>
              <w:bottom w:val="single" w:sz="12" w:space="0" w:color="auto"/>
            </w:tcBorders>
          </w:tcPr>
          <w:p w14:paraId="4B5F15B4" w14:textId="55A5240D" w:rsidR="00A96B21" w:rsidRPr="0084391B" w:rsidRDefault="0084391B" w:rsidP="0019402C">
            <w:pPr>
              <w:pStyle w:val="Cornernotation"/>
              <w:suppressLineNumbers/>
              <w:suppressAutoHyphens/>
              <w:spacing w:before="120" w:after="120"/>
              <w:ind w:left="0" w:right="0" w:firstLine="0"/>
            </w:pPr>
            <w:r w:rsidRPr="0084391B">
              <w:rPr>
                <w14:ligatures w14:val="standardContextual"/>
              </w:rPr>
              <w:drawing>
                <wp:inline distT="0" distB="0" distL="0" distR="0" wp14:anchorId="3B64EAC1" wp14:editId="137BFE72">
                  <wp:extent cx="2901948" cy="1066892"/>
                  <wp:effectExtent l="0" t="0" r="0" b="0"/>
                  <wp:docPr id="1443820147"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20147"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9D07282" w14:textId="3D993435" w:rsidR="00A96B21" w:rsidRPr="0084391B" w:rsidRDefault="00A96B21" w:rsidP="003C6F10">
            <w:pPr>
              <w:ind w:left="2584"/>
              <w:rPr>
                <w:sz w:val="22"/>
                <w:szCs w:val="22"/>
              </w:rPr>
            </w:pPr>
            <w:r w:rsidRPr="0084391B">
              <w:rPr>
                <w:sz w:val="22"/>
              </w:rPr>
              <w:t>Distr. general</w:t>
            </w:r>
          </w:p>
          <w:p w14:paraId="6CC5B014" w14:textId="711426A9" w:rsidR="00A96B21" w:rsidRPr="0084391B" w:rsidRDefault="00092522" w:rsidP="003C6F10">
            <w:pPr>
              <w:ind w:left="2584"/>
              <w:rPr>
                <w:sz w:val="22"/>
                <w:szCs w:val="22"/>
              </w:rPr>
            </w:pPr>
            <w:r w:rsidRPr="0084391B">
              <w:rPr>
                <w:sz w:val="22"/>
              </w:rPr>
              <w:t>20 de abril de 2024</w:t>
            </w:r>
          </w:p>
          <w:p w14:paraId="3047BC8C" w14:textId="77777777" w:rsidR="0084391B" w:rsidRPr="0084391B" w:rsidRDefault="00A96B21" w:rsidP="003C6F10">
            <w:pPr>
              <w:ind w:left="2584"/>
              <w:rPr>
                <w:sz w:val="22"/>
              </w:rPr>
            </w:pPr>
            <w:r w:rsidRPr="0084391B">
              <w:rPr>
                <w:sz w:val="22"/>
              </w:rPr>
              <w:t>Español</w:t>
            </w:r>
          </w:p>
          <w:p w14:paraId="76D3643C" w14:textId="0799BF2C" w:rsidR="00A96B21" w:rsidRPr="0084391B" w:rsidRDefault="00A96B21" w:rsidP="003C6F10">
            <w:pPr>
              <w:ind w:left="2584"/>
              <w:rPr>
                <w:sz w:val="22"/>
                <w:szCs w:val="22"/>
              </w:rPr>
            </w:pPr>
            <w:r w:rsidRPr="0084391B">
              <w:rPr>
                <w:sz w:val="22"/>
              </w:rPr>
              <w:t>Original: inglés</w:t>
            </w:r>
          </w:p>
          <w:p w14:paraId="26B95632" w14:textId="77777777" w:rsidR="00A96B21" w:rsidRPr="0084391B" w:rsidRDefault="00A96B21" w:rsidP="0019402C"/>
        </w:tc>
      </w:tr>
    </w:tbl>
    <w:p w14:paraId="5C49F89F" w14:textId="19DB9C5A" w:rsidR="00874541" w:rsidRPr="0084391B" w:rsidRDefault="00DE4B36" w:rsidP="00A96B21">
      <w:pPr>
        <w:pStyle w:val="Cornernotation"/>
        <w:rPr>
          <w:bCs/>
        </w:rPr>
      </w:pPr>
      <w:r w:rsidRPr="0084391B">
        <w:t>Órgano Subsidiario sobre la Aplicación</w:t>
      </w:r>
    </w:p>
    <w:p w14:paraId="1CD3CAD9" w14:textId="1E04E055" w:rsidR="00A96B21" w:rsidRPr="0084391B" w:rsidRDefault="00DE4B36" w:rsidP="00A96B21">
      <w:pPr>
        <w:pStyle w:val="Cornernotation"/>
        <w:rPr>
          <w:bCs/>
          <w:sz w:val="22"/>
          <w:szCs w:val="22"/>
        </w:rPr>
      </w:pPr>
      <w:r w:rsidRPr="0084391B">
        <w:rPr>
          <w:sz w:val="22"/>
        </w:rPr>
        <w:t xml:space="preserve">Cuarta reunión </w:t>
      </w:r>
    </w:p>
    <w:p w14:paraId="0419AD91" w14:textId="3C48B0D5" w:rsidR="00A96B21" w:rsidRPr="0084391B" w:rsidRDefault="00A87D2A" w:rsidP="00A96B21">
      <w:pPr>
        <w:pStyle w:val="Venuedate"/>
      </w:pPr>
      <w:r w:rsidRPr="0084391B">
        <w:t xml:space="preserve">Nairobi, 21 a 29 de mayo de 2024 </w:t>
      </w:r>
    </w:p>
    <w:p w14:paraId="68245922" w14:textId="39192E46" w:rsidR="00A96B21" w:rsidRPr="0084391B" w:rsidRDefault="00A96B21" w:rsidP="00A96B21">
      <w:pPr>
        <w:pStyle w:val="Cornernotation-Item"/>
        <w:rPr>
          <w:b w:val="0"/>
          <w:bCs w:val="0"/>
        </w:rPr>
      </w:pPr>
      <w:r w:rsidRPr="0084391B">
        <w:rPr>
          <w:b w:val="0"/>
        </w:rPr>
        <w:t>Tema 12 del programa provisional</w:t>
      </w:r>
      <w:r w:rsidRPr="0084391B">
        <w:rPr>
          <w:rStyle w:val="Refdenotaalpie"/>
          <w:b w:val="0"/>
          <w:bCs w:val="0"/>
        </w:rPr>
        <w:footnoteReference w:customMarkFollows="1" w:id="2"/>
        <w:t>*</w:t>
      </w:r>
    </w:p>
    <w:p w14:paraId="557C55CD" w14:textId="1870F914" w:rsidR="00A96B21" w:rsidRPr="0084391B" w:rsidRDefault="00853516" w:rsidP="00A96B21">
      <w:pPr>
        <w:pStyle w:val="Cornernotation-Item"/>
      </w:pPr>
      <w:r w:rsidRPr="0084391B">
        <w:t>Programa de trabajo plurianual de la Conferencia de las Partes</w:t>
      </w:r>
    </w:p>
    <w:bookmarkEnd w:id="0"/>
    <w:p w14:paraId="1DF47B42" w14:textId="7CFBEC99" w:rsidR="00A96B21" w:rsidRPr="0084391B" w:rsidRDefault="00B7699A" w:rsidP="00A96B21">
      <w:pPr>
        <w:pStyle w:val="Ttulo"/>
      </w:pPr>
      <w:r w:rsidRPr="0084391B">
        <w:t>Programa de trabajo plurianual de la Conferencia de las Partes</w:t>
      </w:r>
    </w:p>
    <w:p w14:paraId="47294807" w14:textId="77777777" w:rsidR="00A96B21" w:rsidRPr="0084391B" w:rsidRDefault="00A96B21" w:rsidP="00A96B21">
      <w:pPr>
        <w:pStyle w:val="Subttulo"/>
        <w:spacing w:before="120" w:after="120"/>
        <w:ind w:left="567"/>
        <w:jc w:val="left"/>
        <w:rPr>
          <w:rFonts w:ascii="Times New Roman" w:hAnsi="Times New Roman" w:cs="Times New Roman"/>
          <w:color w:val="auto"/>
        </w:rPr>
      </w:pPr>
      <w:r w:rsidRPr="0084391B">
        <w:rPr>
          <w:rFonts w:ascii="Times New Roman" w:hAnsi="Times New Roman"/>
          <w:color w:val="auto"/>
        </w:rPr>
        <w:t>Nota de la Secretaría</w:t>
      </w:r>
    </w:p>
    <w:p w14:paraId="15BCFF19" w14:textId="32C7E646" w:rsidR="00FA18C9" w:rsidRPr="0084391B" w:rsidRDefault="004D421B" w:rsidP="00AE023E">
      <w:pPr>
        <w:pStyle w:val="Ttulo1"/>
        <w:ind w:left="567" w:hanging="567"/>
      </w:pPr>
      <w:r w:rsidRPr="0084391B">
        <w:t>I.</w:t>
      </w:r>
      <w:r w:rsidRPr="0084391B">
        <w:tab/>
        <w:t>Introducción</w:t>
      </w:r>
    </w:p>
    <w:p w14:paraId="479BF928" w14:textId="0E17B484" w:rsidR="00FE3AB8" w:rsidRPr="0084391B" w:rsidRDefault="00FE3AB8" w:rsidP="001A7F17">
      <w:pPr>
        <w:pStyle w:val="Para1"/>
        <w:numPr>
          <w:ilvl w:val="0"/>
          <w:numId w:val="2"/>
        </w:numPr>
        <w:ind w:left="567" w:firstLine="0"/>
      </w:pPr>
      <w:r w:rsidRPr="0084391B">
        <w:t>En su decisión </w:t>
      </w:r>
      <w:hyperlink r:id="rId14" w:history="1">
        <w:r w:rsidRPr="0084391B">
          <w:rPr>
            <w:rStyle w:val="Hipervnculo"/>
          </w:rPr>
          <w:t>15/33</w:t>
        </w:r>
      </w:hyperlink>
      <w:r w:rsidRPr="0084391B">
        <w:t>, la Conferencia de las Partes en el Convenio sobre la Diversidad Biológica hizo notar que examinaría los progresos realizados en la aplicación del Convenio y la implementación del Marco Mundial de Biodiversidad de Kunming Montreal en cada una de sus reuniones hasta 2030 y tomó nota de la lista preliminar de cuestiones que debían abordarse en esas reuniones, que figuraba en el anexo de la decisión. En la misma decisión, la Conferencia de las Partes pidió a la Secretaria Ejecutiva que, en consulta con la Mesa de la Conferencia de las Partes, completara la lista de cuestiones que la Conferencia de las Partes habría de considerar en su 16ª reunión y que propusiera elementos concretos que estén armonizados con la implementación del Marco, así como temas estrechamente relacionados, para que fueran considerados por el Órgano Subsidiario sobre la Aplicación en su cuarta reunión, con miras a completar la lista de cuestiones que se considerarían en las reuniones 17ª, 18ª y 19ª de la Conferencia de las Partes, como se proponía en el anexo de la decisión.</w:t>
      </w:r>
    </w:p>
    <w:p w14:paraId="591B8D43" w14:textId="08C1959D" w:rsidR="00425593" w:rsidRPr="0084391B" w:rsidRDefault="006200E9" w:rsidP="001A7F17">
      <w:pPr>
        <w:pStyle w:val="Para1"/>
        <w:numPr>
          <w:ilvl w:val="0"/>
          <w:numId w:val="2"/>
        </w:numPr>
        <w:ind w:left="567" w:firstLine="0"/>
      </w:pPr>
      <w:r w:rsidRPr="0084391B">
        <w:t xml:space="preserve">En consulta con la Mesa, la </w:t>
      </w:r>
      <w:r w:rsidRPr="001A7F17">
        <w:rPr>
          <w:lang w:val="en-GB"/>
        </w:rPr>
        <w:t>Secretaría</w:t>
      </w:r>
      <w:r w:rsidRPr="0084391B">
        <w:t xml:space="preserve"> está preparando el programa para la 16ª reunión de la Conferencia de las Partes; este se publicará en su sitio web con arreglo a la práctica habitual.</w:t>
      </w:r>
    </w:p>
    <w:p w14:paraId="0B752A9C" w14:textId="447CC1AB" w:rsidR="006200E9" w:rsidRPr="0084391B" w:rsidRDefault="00474615" w:rsidP="001A7F17">
      <w:pPr>
        <w:pStyle w:val="Para1"/>
        <w:numPr>
          <w:ilvl w:val="0"/>
          <w:numId w:val="2"/>
        </w:numPr>
        <w:ind w:left="567" w:firstLine="0"/>
      </w:pPr>
      <w:r w:rsidRPr="0084391B">
        <w:t xml:space="preserve">En respuesta a la petición </w:t>
      </w:r>
      <w:r w:rsidRPr="001A7F17">
        <w:rPr>
          <w:lang w:val="en-GB"/>
        </w:rPr>
        <w:t>formulada</w:t>
      </w:r>
      <w:r w:rsidRPr="0084391B">
        <w:t xml:space="preserve"> en la decisión 15/33, la Secretaría ha detallado en el anexo del proyecto de decisión que figura a continuación una lista de cuestiones que se proponen para su examen por la Conferencia de las Partes en sus reuniones 17ª, 18ª y 19ª; estas se basan en lo siguiente: a) el anexo de la decisión 15/33; b) el calendario para la revisión de la aplicación del Convenio y la implementación del Marco establecido con arreglo a la decisión </w:t>
      </w:r>
      <w:hyperlink r:id="rId15" w:history="1">
        <w:r w:rsidRPr="0084391B">
          <w:rPr>
            <w:rStyle w:val="Hipervnculo"/>
          </w:rPr>
          <w:t>15/6</w:t>
        </w:r>
      </w:hyperlink>
      <w:r w:rsidRPr="0084391B">
        <w:t>; c) otros mandatos adoptados por la Conferencia de las Partes en su 15ª reunión; d) el programa de trabajo de la Plataforma Intergubernamental Científico-Normativa sobre Diversidad Biológica y Servicios de los Ecosistemas</w:t>
      </w:r>
      <w:r w:rsidR="007E3FC0" w:rsidRPr="0084391B">
        <w:rPr>
          <w:rStyle w:val="Refdenotaalpie"/>
        </w:rPr>
        <w:footnoteReference w:id="3"/>
      </w:r>
      <w:r w:rsidRPr="0084391B">
        <w:t xml:space="preserve">; y e) el análisis de las necesidades científicas y técnicas para apoyar la implementación </w:t>
      </w:r>
      <w:r w:rsidRPr="0084391B">
        <w:lastRenderedPageBreak/>
        <w:t>del Marco, que incluye la identificación de carencias en las herramientas y las orientaciones</w:t>
      </w:r>
      <w:r w:rsidR="007E3FC0" w:rsidRPr="0084391B">
        <w:rPr>
          <w:rStyle w:val="Refdenotaalpie"/>
        </w:rPr>
        <w:footnoteReference w:id="4"/>
      </w:r>
      <w:r w:rsidRPr="0084391B">
        <w:t>, que el Órgano Subsidiario de Asesoramiento Científico, Técnico y Tecnológico considerará en su 26ª reunión</w:t>
      </w:r>
      <w:r w:rsidR="007E3FC0" w:rsidRPr="0084391B">
        <w:rPr>
          <w:rStyle w:val="Refdenotaalpie"/>
        </w:rPr>
        <w:footnoteReference w:id="5"/>
      </w:r>
      <w:r w:rsidRPr="0084391B">
        <w:t>. Cabe señalar que el anexo del proyecto de decisión se centra en algunos temas sustantivos fundamentales y no incluye los temas permanentes ordinarios de las reuniones, ni proporciona programas detallados para las reuniones de la Conferencia de las Partes.</w:t>
      </w:r>
    </w:p>
    <w:p w14:paraId="03DC8B34" w14:textId="77777777" w:rsidR="00A85F3C" w:rsidRPr="0084391B" w:rsidRDefault="00A85F3C" w:rsidP="00D62D4F">
      <w:pPr>
        <w:pStyle w:val="Ttulo1"/>
        <w:ind w:left="567" w:hanging="567"/>
        <w:sectPr w:rsidR="00A85F3C" w:rsidRPr="0084391B" w:rsidSect="009F5B5E">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p>
    <w:p w14:paraId="7D6C4B2A" w14:textId="12423904" w:rsidR="00425593" w:rsidRPr="0084391B" w:rsidRDefault="004D421B" w:rsidP="00D62D4F">
      <w:pPr>
        <w:pStyle w:val="Ttulo1"/>
        <w:ind w:left="567" w:hanging="567"/>
      </w:pPr>
      <w:r w:rsidRPr="0084391B">
        <w:lastRenderedPageBreak/>
        <w:t>II.</w:t>
      </w:r>
      <w:r w:rsidRPr="0084391B">
        <w:tab/>
        <w:t>Recomendación</w:t>
      </w:r>
    </w:p>
    <w:p w14:paraId="632F941D" w14:textId="090C55D4" w:rsidR="00FE3AB8" w:rsidRPr="0084391B" w:rsidRDefault="00FE3AB8" w:rsidP="001A7F17">
      <w:pPr>
        <w:pStyle w:val="Para1"/>
        <w:numPr>
          <w:ilvl w:val="0"/>
          <w:numId w:val="2"/>
        </w:numPr>
        <w:ind w:left="567" w:firstLine="0"/>
      </w:pPr>
      <w:r w:rsidRPr="0084391B">
        <w:t>El Órgano Subsidiario tal vez desee recomendar que, en su 16ª reunión, la Conferencia de las Partes adopte una decisión del siguiente tenor:</w:t>
      </w:r>
    </w:p>
    <w:p w14:paraId="5905A258" w14:textId="77777777" w:rsidR="00425593" w:rsidRPr="0084391B" w:rsidRDefault="00425593" w:rsidP="00E77B5F">
      <w:pPr>
        <w:tabs>
          <w:tab w:val="left" w:pos="1701"/>
        </w:tabs>
        <w:spacing w:before="120" w:after="120"/>
        <w:ind w:left="567" w:firstLine="567"/>
        <w:rPr>
          <w:i/>
          <w:kern w:val="22"/>
          <w:szCs w:val="22"/>
        </w:rPr>
      </w:pPr>
      <w:r w:rsidRPr="0084391B">
        <w:rPr>
          <w:i/>
        </w:rPr>
        <w:t>La Conferencia de las Partes,</w:t>
      </w:r>
    </w:p>
    <w:p w14:paraId="4832006E" w14:textId="20212E84" w:rsidR="00425593" w:rsidRPr="0084391B" w:rsidRDefault="008F689D" w:rsidP="00E77B5F">
      <w:pPr>
        <w:tabs>
          <w:tab w:val="left" w:pos="1701"/>
        </w:tabs>
        <w:spacing w:before="120" w:after="120"/>
        <w:ind w:left="567" w:firstLine="567"/>
        <w:rPr>
          <w:iCs/>
          <w:snapToGrid w:val="0"/>
          <w:kern w:val="22"/>
          <w:szCs w:val="22"/>
        </w:rPr>
      </w:pPr>
      <w:r w:rsidRPr="0084391B">
        <w:rPr>
          <w:i/>
        </w:rPr>
        <w:t>Recordando</w:t>
      </w:r>
      <w:r w:rsidRPr="0084391B">
        <w:t xml:space="preserve"> su decisión </w:t>
      </w:r>
      <w:hyperlink r:id="rId20" w:history="1">
        <w:r w:rsidRPr="0084391B">
          <w:rPr>
            <w:rStyle w:val="Hipervnculo"/>
          </w:rPr>
          <w:t>15/4</w:t>
        </w:r>
      </w:hyperlink>
      <w:r w:rsidRPr="0084391B">
        <w:t>, de 19 de diciembre de 2022, en la que decidió que el Marco Mundial de Biodiversidad de Kunming-Montreal</w:t>
      </w:r>
      <w:r w:rsidR="00CA4714" w:rsidRPr="0084391B">
        <w:rPr>
          <w:rStyle w:val="Refdenotaalpie"/>
          <w:iCs/>
          <w:kern w:val="22"/>
          <w:szCs w:val="22"/>
        </w:rPr>
        <w:footnoteReference w:id="6"/>
      </w:r>
      <w:r w:rsidRPr="0084391B">
        <w:t xml:space="preserve"> habría de utilizarse como un plan estratégico para la aplicación del Convenio y sus Protocolos, sus órganos y su Secretaría en el período 2022-2030,</w:t>
      </w:r>
    </w:p>
    <w:p w14:paraId="45F475DA" w14:textId="100A9097" w:rsidR="00A1673D" w:rsidRPr="0084391B" w:rsidRDefault="00A1673D" w:rsidP="00E77B5F">
      <w:pPr>
        <w:tabs>
          <w:tab w:val="left" w:pos="1701"/>
        </w:tabs>
        <w:spacing w:before="120" w:after="120"/>
        <w:ind w:left="567" w:firstLine="567"/>
        <w:rPr>
          <w:iCs/>
          <w:snapToGrid w:val="0"/>
          <w:kern w:val="22"/>
          <w:szCs w:val="22"/>
        </w:rPr>
      </w:pPr>
      <w:r w:rsidRPr="0084391B">
        <w:rPr>
          <w:i/>
        </w:rPr>
        <w:t xml:space="preserve">Recordando también </w:t>
      </w:r>
      <w:r w:rsidRPr="0084391B">
        <w:t>su decisión 15/33, de 19 de diciembre de 2022, en la que hizo notar que examinaría los progresos realizados en la aplicación del Convenio y la implementación del Marco en cada una de sus reuniones hasta 2030, y decidió que la elaboración de nuevas orientaciones para la formulación de políticas y la aplicación debería apoyar la consecución de los objetivos y metas establecidos en el Marco, el resultado del análisis mundial de la información de las estrategias y planes de acción nacionales en materia de biodiversidad, incluidas sus metas nacionales, y la revisión mundial del progreso colectivo en la aplicación, así como la nueva información que pueda estar disponible, por ejemplo, mediante evaluaciones científicas,</w:t>
      </w:r>
    </w:p>
    <w:p w14:paraId="69B33FA2" w14:textId="0C93426B" w:rsidR="00425593" w:rsidRPr="0084391B" w:rsidRDefault="007C6C48" w:rsidP="00E77B5F">
      <w:pPr>
        <w:tabs>
          <w:tab w:val="left" w:pos="1701"/>
        </w:tabs>
        <w:spacing w:before="120" w:after="120"/>
        <w:ind w:left="567" w:firstLine="567"/>
        <w:rPr>
          <w:i/>
          <w:kern w:val="22"/>
          <w:szCs w:val="22"/>
        </w:rPr>
      </w:pPr>
      <w:r w:rsidRPr="0084391B">
        <w:t>1.</w:t>
      </w:r>
      <w:r w:rsidRPr="0084391B">
        <w:tab/>
      </w:r>
      <w:r w:rsidRPr="0084391B">
        <w:rPr>
          <w:i/>
        </w:rPr>
        <w:t>Decide</w:t>
      </w:r>
      <w:r w:rsidRPr="0084391B">
        <w:t xml:space="preserve"> actualizar su programa de trabajo plurianual hasta 2030 con arreglo a la lista de cuestiones que figura en el anexo de la presente decisión;</w:t>
      </w:r>
    </w:p>
    <w:p w14:paraId="1C9D141A" w14:textId="21D8A9C2" w:rsidR="00425593" w:rsidRPr="0084391B" w:rsidRDefault="007C6C48" w:rsidP="00E77B5F">
      <w:pPr>
        <w:tabs>
          <w:tab w:val="left" w:pos="1701"/>
        </w:tabs>
        <w:spacing w:before="120" w:after="120"/>
        <w:ind w:left="567" w:firstLine="567"/>
        <w:rPr>
          <w:snapToGrid w:val="0"/>
          <w:kern w:val="22"/>
          <w:szCs w:val="22"/>
        </w:rPr>
      </w:pPr>
      <w:r w:rsidRPr="0084391B">
        <w:rPr>
          <w:snapToGrid w:val="0"/>
        </w:rPr>
        <w:t>2.</w:t>
      </w:r>
      <w:r w:rsidRPr="0084391B">
        <w:rPr>
          <w:snapToGrid w:val="0"/>
        </w:rPr>
        <w:tab/>
      </w:r>
      <w:r w:rsidRPr="0084391B">
        <w:rPr>
          <w:i/>
          <w:snapToGrid w:val="0"/>
        </w:rPr>
        <w:t>Decide también</w:t>
      </w:r>
      <w:r w:rsidRPr="0084391B">
        <w:rPr>
          <w:snapToGrid w:val="0"/>
        </w:rPr>
        <w:t xml:space="preserve"> abordar, en cada una de sus reuniones, los temas permanentes conforme a decisiones anteriores, así como cualquier otra cuestión que surja de sus decisiones en relación con programas de trabajo y cuestiones transversales concretos, y mantener la flexibilidad suficiente en su programa de trabajo plurianual a fin incorporar las cuestiones incipientes y oportunidades que pueda determinar.</w:t>
      </w:r>
    </w:p>
    <w:p w14:paraId="6D8A8801" w14:textId="77777777" w:rsidR="00817A82" w:rsidRPr="0084391B" w:rsidRDefault="00817A82" w:rsidP="00E77B5F">
      <w:pPr>
        <w:keepNext/>
        <w:spacing w:before="140" w:after="140"/>
        <w:ind w:left="567"/>
        <w:jc w:val="left"/>
        <w:rPr>
          <w:b/>
          <w:bCs/>
          <w:iCs/>
          <w:sz w:val="24"/>
        </w:rPr>
      </w:pPr>
      <w:r w:rsidRPr="0084391B">
        <w:rPr>
          <w:b/>
          <w:sz w:val="24"/>
        </w:rPr>
        <w:t xml:space="preserve">Anexo </w:t>
      </w:r>
    </w:p>
    <w:p w14:paraId="76908978" w14:textId="3368E7F0" w:rsidR="00817A82" w:rsidRPr="0084391B" w:rsidRDefault="00802FCB" w:rsidP="00E77B5F">
      <w:pPr>
        <w:pStyle w:val="Ttulo"/>
        <w:spacing w:after="120"/>
        <w:rPr>
          <w:sz w:val="24"/>
        </w:rPr>
      </w:pPr>
      <w:r w:rsidRPr="0084391B">
        <w:rPr>
          <w:sz w:val="24"/>
        </w:rPr>
        <w:t>Lista de las principales cuestiones que deberán abordarse en las reuniones de la Conferencia de las Partes durante el período 2023-2030</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817A82" w:rsidRPr="0084391B" w14:paraId="71E84867" w14:textId="77777777" w:rsidTr="00E77B5F">
        <w:trPr>
          <w:tblHeader/>
        </w:trPr>
        <w:tc>
          <w:tcPr>
            <w:tcW w:w="1514" w:type="dxa"/>
            <w:tcBorders>
              <w:top w:val="single" w:sz="4" w:space="0" w:color="auto"/>
              <w:left w:val="single" w:sz="4" w:space="0" w:color="auto"/>
              <w:bottom w:val="single" w:sz="4" w:space="0" w:color="auto"/>
              <w:right w:val="single" w:sz="4" w:space="0" w:color="auto"/>
            </w:tcBorders>
            <w:hideMark/>
          </w:tcPr>
          <w:p w14:paraId="21F6AB38" w14:textId="05855765" w:rsidR="00817A82" w:rsidRPr="0084391B" w:rsidRDefault="00817A82" w:rsidP="00D34DFB">
            <w:pPr>
              <w:keepNext/>
              <w:spacing w:before="40" w:after="40"/>
              <w:jc w:val="left"/>
              <w:rPr>
                <w:bCs/>
                <w:i/>
                <w:iCs/>
                <w:sz w:val="20"/>
                <w:szCs w:val="22"/>
              </w:rPr>
            </w:pPr>
            <w:r w:rsidRPr="0084391B">
              <w:rPr>
                <w:i/>
                <w:sz w:val="20"/>
              </w:rPr>
              <w:t>Reunión de la Conferencia de las Partes</w:t>
            </w:r>
          </w:p>
        </w:tc>
        <w:tc>
          <w:tcPr>
            <w:tcW w:w="7836" w:type="dxa"/>
            <w:tcBorders>
              <w:top w:val="single" w:sz="4" w:space="0" w:color="auto"/>
              <w:left w:val="single" w:sz="4" w:space="0" w:color="auto"/>
              <w:bottom w:val="single" w:sz="4" w:space="0" w:color="auto"/>
              <w:right w:val="single" w:sz="4" w:space="0" w:color="auto"/>
            </w:tcBorders>
            <w:hideMark/>
          </w:tcPr>
          <w:p w14:paraId="0F13491B" w14:textId="77777777" w:rsidR="00817A82" w:rsidRPr="0084391B" w:rsidRDefault="00817A82" w:rsidP="00D34DFB">
            <w:pPr>
              <w:keepNext/>
              <w:spacing w:before="40" w:after="40"/>
              <w:jc w:val="left"/>
              <w:rPr>
                <w:bCs/>
                <w:i/>
                <w:iCs/>
                <w:sz w:val="20"/>
                <w:szCs w:val="22"/>
              </w:rPr>
            </w:pPr>
            <w:r w:rsidRPr="0084391B">
              <w:rPr>
                <w:i/>
                <w:sz w:val="20"/>
              </w:rPr>
              <w:t>Cuestiones estratégicas</w:t>
            </w:r>
          </w:p>
        </w:tc>
      </w:tr>
      <w:tr w:rsidR="00817A82" w:rsidRPr="0084391B" w14:paraId="0DBE8183" w14:textId="77777777" w:rsidTr="00817A82">
        <w:tc>
          <w:tcPr>
            <w:tcW w:w="1514" w:type="dxa"/>
            <w:tcBorders>
              <w:top w:val="single" w:sz="4" w:space="0" w:color="auto"/>
              <w:left w:val="single" w:sz="4" w:space="0" w:color="auto"/>
              <w:bottom w:val="single" w:sz="4" w:space="0" w:color="auto"/>
              <w:right w:val="single" w:sz="4" w:space="0" w:color="auto"/>
            </w:tcBorders>
          </w:tcPr>
          <w:p w14:paraId="199FAFC0" w14:textId="31CF260A" w:rsidR="00817A82" w:rsidRPr="0084391B" w:rsidRDefault="00024F92" w:rsidP="00D34DFB">
            <w:pPr>
              <w:keepNext/>
              <w:spacing w:before="40" w:after="40"/>
              <w:jc w:val="left"/>
              <w:rPr>
                <w:sz w:val="20"/>
                <w:szCs w:val="22"/>
              </w:rPr>
            </w:pPr>
            <w:r w:rsidRPr="0084391B">
              <w:rPr>
                <w:sz w:val="20"/>
              </w:rPr>
              <w:t>17ª reunión (2026)</w:t>
            </w:r>
          </w:p>
        </w:tc>
        <w:tc>
          <w:tcPr>
            <w:tcW w:w="7836" w:type="dxa"/>
            <w:tcBorders>
              <w:top w:val="single" w:sz="4" w:space="0" w:color="auto"/>
              <w:left w:val="single" w:sz="4" w:space="0" w:color="auto"/>
              <w:bottom w:val="single" w:sz="4" w:space="0" w:color="auto"/>
              <w:right w:val="single" w:sz="4" w:space="0" w:color="auto"/>
            </w:tcBorders>
          </w:tcPr>
          <w:p w14:paraId="1E262135" w14:textId="3F015890" w:rsidR="00817A82" w:rsidRPr="0084391B" w:rsidRDefault="00567AFA" w:rsidP="00B001EB">
            <w:pPr>
              <w:keepNext/>
              <w:spacing w:before="40" w:after="40"/>
              <w:ind w:left="360" w:hanging="360"/>
              <w:jc w:val="left"/>
              <w:rPr>
                <w:sz w:val="20"/>
                <w:szCs w:val="22"/>
              </w:rPr>
            </w:pPr>
            <w:r w:rsidRPr="0084391B">
              <w:rPr>
                <w:rFonts w:asciiTheme="majorBidi" w:hAnsiTheme="majorBidi"/>
                <w:sz w:val="20"/>
              </w:rPr>
              <w:t>a)</w:t>
            </w:r>
            <w:r w:rsidRPr="0084391B">
              <w:rPr>
                <w:rFonts w:ascii="Symbol" w:hAnsi="Symbol"/>
                <w:sz w:val="20"/>
              </w:rPr>
              <w:tab/>
            </w:r>
            <w:r w:rsidRPr="0084391B">
              <w:rPr>
                <w:sz w:val="20"/>
              </w:rPr>
              <w:t>Revisión mundial de la implementación del Marco Mundial de Biodiversidad de Kunming-Montreal y los medios de implementación conexos sobre la base, entre otras cosas, de los séptimos informes nacionales</w:t>
            </w:r>
            <w:r w:rsidRPr="0084391B">
              <w:rPr>
                <w:i/>
                <w:sz w:val="20"/>
                <w:vertAlign w:val="superscript"/>
              </w:rPr>
              <w:t>a</w:t>
            </w:r>
            <w:r w:rsidRPr="0084391B">
              <w:rPr>
                <w:sz w:val="20"/>
              </w:rPr>
              <w:t>;</w:t>
            </w:r>
          </w:p>
          <w:p w14:paraId="37D4BA88" w14:textId="78452552" w:rsidR="00817A82" w:rsidRPr="0084391B" w:rsidRDefault="00567AFA" w:rsidP="00D34DFB">
            <w:pPr>
              <w:keepNext/>
              <w:spacing w:before="40" w:after="40"/>
              <w:ind w:left="360" w:hanging="360"/>
              <w:jc w:val="left"/>
              <w:rPr>
                <w:snapToGrid w:val="0"/>
                <w:sz w:val="20"/>
                <w:szCs w:val="22"/>
              </w:rPr>
            </w:pPr>
            <w:r w:rsidRPr="0084391B">
              <w:rPr>
                <w:rFonts w:asciiTheme="majorBidi" w:hAnsiTheme="majorBidi"/>
                <w:snapToGrid w:val="0"/>
                <w:sz w:val="20"/>
              </w:rPr>
              <w:t>b</w:t>
            </w:r>
            <w:r w:rsidRPr="0084391B">
              <w:rPr>
                <w:rFonts w:ascii="Symbol" w:hAnsi="Symbol"/>
                <w:snapToGrid w:val="0"/>
                <w:sz w:val="20"/>
              </w:rPr>
              <w:t>)</w:t>
            </w:r>
            <w:r w:rsidRPr="0084391B">
              <w:rPr>
                <w:rFonts w:ascii="Symbol" w:hAnsi="Symbol"/>
                <w:snapToGrid w:val="0"/>
                <w:sz w:val="20"/>
              </w:rPr>
              <w:tab/>
            </w:r>
            <w:r w:rsidRPr="0084391B">
              <w:rPr>
                <w:snapToGrid w:val="0"/>
                <w:sz w:val="20"/>
              </w:rPr>
              <w:t>Medidas estratégicas para mejorar la aplicación del Convenio y la implementación del Marco, entre otras cosas en relación con los medios de implementación;</w:t>
            </w:r>
          </w:p>
          <w:p w14:paraId="5605951F" w14:textId="42D22DB6" w:rsidR="004A1B66" w:rsidRPr="0084391B" w:rsidRDefault="00CD4A98" w:rsidP="004378B1">
            <w:pPr>
              <w:keepNext/>
              <w:spacing w:before="40" w:after="40"/>
              <w:ind w:left="360" w:hanging="360"/>
              <w:jc w:val="left"/>
              <w:rPr>
                <w:snapToGrid w:val="0"/>
                <w:sz w:val="20"/>
              </w:rPr>
            </w:pPr>
            <w:r w:rsidRPr="0084391B">
              <w:rPr>
                <w:sz w:val="20"/>
              </w:rPr>
              <w:t>c)</w:t>
            </w:r>
            <w:r w:rsidRPr="0084391B">
              <w:rPr>
                <w:sz w:val="20"/>
              </w:rPr>
              <w:tab/>
              <w:t>Repercusiones para la labor del Convenio de las siguientes evaluaciones de la Plataforma Intergubernamental Científico-Normativa sobre Diversidad Biológica y Servicios de los Ecosistemas:</w:t>
            </w:r>
          </w:p>
          <w:p w14:paraId="494C79FF" w14:textId="642E1E32" w:rsidR="004A1B66" w:rsidRPr="0084391B" w:rsidRDefault="004A1B66" w:rsidP="00E77B5F">
            <w:pPr>
              <w:pStyle w:val="Para1"/>
              <w:numPr>
                <w:ilvl w:val="0"/>
                <w:numId w:val="33"/>
              </w:numPr>
              <w:tabs>
                <w:tab w:val="clear" w:pos="1134"/>
                <w:tab w:val="left" w:pos="2268"/>
              </w:tabs>
              <w:spacing w:before="40" w:after="40"/>
              <w:ind w:left="927" w:hanging="567"/>
              <w:jc w:val="left"/>
              <w:rPr>
                <w:sz w:val="20"/>
              </w:rPr>
            </w:pPr>
            <w:r w:rsidRPr="0084391B">
              <w:rPr>
                <w:sz w:val="20"/>
              </w:rPr>
              <w:t>Evaluación temática sobre los vínculos entre la diversidad biológica, el agua, la alimentación y la salud (“evaluación de los nexos”);</w:t>
            </w:r>
          </w:p>
          <w:p w14:paraId="5A2FA4B6" w14:textId="14308626" w:rsidR="004A1B66" w:rsidRPr="0084391B" w:rsidRDefault="004A1B66" w:rsidP="00E77B5F">
            <w:pPr>
              <w:pStyle w:val="Para1"/>
              <w:numPr>
                <w:ilvl w:val="0"/>
                <w:numId w:val="33"/>
              </w:numPr>
              <w:tabs>
                <w:tab w:val="clear" w:pos="1134"/>
                <w:tab w:val="left" w:pos="2268"/>
              </w:tabs>
              <w:spacing w:before="40" w:after="40"/>
              <w:ind w:left="927" w:hanging="567"/>
              <w:jc w:val="left"/>
              <w:rPr>
                <w:sz w:val="20"/>
              </w:rPr>
            </w:pPr>
            <w:r w:rsidRPr="0084391B">
              <w:rPr>
                <w:sz w:val="20"/>
              </w:rPr>
              <w:t>Evaluación temática de las causas subyacentes de la pérdida de la diversidad biológica y los factores determinantes del cambio transformador y las opciones para hacer realidad la Visión 2050 para la Diversidad Biológica;</w:t>
            </w:r>
          </w:p>
          <w:p w14:paraId="2F36B6E1" w14:textId="249709EB" w:rsidR="004A1B66" w:rsidRPr="0084391B" w:rsidRDefault="004A1B66" w:rsidP="00E77B5F">
            <w:pPr>
              <w:pStyle w:val="Para1"/>
              <w:numPr>
                <w:ilvl w:val="0"/>
                <w:numId w:val="33"/>
              </w:numPr>
              <w:tabs>
                <w:tab w:val="clear" w:pos="1134"/>
                <w:tab w:val="left" w:pos="2268"/>
              </w:tabs>
              <w:spacing w:before="40" w:after="40"/>
              <w:ind w:left="927" w:hanging="567"/>
              <w:jc w:val="left"/>
              <w:rPr>
                <w:sz w:val="20"/>
              </w:rPr>
            </w:pPr>
            <w:r w:rsidRPr="0084391B">
              <w:rPr>
                <w:sz w:val="20"/>
              </w:rPr>
              <w:t>Evaluación metodológica del impacto de las empresas en la diversidad biológica y las contribuciones de la naturaleza para las personas, y de su dependencia respecto de ellas;</w:t>
            </w:r>
          </w:p>
          <w:p w14:paraId="5D6C8141" w14:textId="3863035B" w:rsidR="00817A82" w:rsidRPr="0084391B" w:rsidRDefault="00391B4F" w:rsidP="004378B1">
            <w:pPr>
              <w:keepNext/>
              <w:spacing w:before="40" w:after="40"/>
              <w:ind w:left="360" w:hanging="360"/>
              <w:jc w:val="left"/>
              <w:rPr>
                <w:snapToGrid w:val="0"/>
                <w:sz w:val="20"/>
              </w:rPr>
            </w:pPr>
            <w:r w:rsidRPr="0084391B">
              <w:rPr>
                <w:sz w:val="20"/>
              </w:rPr>
              <w:lastRenderedPageBreak/>
              <w:t>d)</w:t>
            </w:r>
            <w:r w:rsidRPr="0084391B">
              <w:rPr>
                <w:rFonts w:ascii="Symbol" w:hAnsi="Symbol"/>
                <w:sz w:val="20"/>
              </w:rPr>
              <w:tab/>
            </w:r>
            <w:r w:rsidRPr="0084391B">
              <w:rPr>
                <w:sz w:val="20"/>
              </w:rPr>
              <w:t xml:space="preserve">Herramientas y orientaciones </w:t>
            </w:r>
            <w:r w:rsidRPr="0084391B">
              <w:rPr>
                <w:snapToGrid w:val="0"/>
                <w:sz w:val="20"/>
              </w:rPr>
              <w:t>para apoyar la implementación del Marco:</w:t>
            </w:r>
          </w:p>
          <w:p w14:paraId="42153165" w14:textId="7EA08AEC" w:rsidR="00817A82" w:rsidRPr="0084391B" w:rsidRDefault="00143AA2" w:rsidP="0084391B">
            <w:pPr>
              <w:pStyle w:val="Para1"/>
              <w:numPr>
                <w:ilvl w:val="0"/>
                <w:numId w:val="38"/>
              </w:numPr>
              <w:tabs>
                <w:tab w:val="clear" w:pos="1134"/>
                <w:tab w:val="left" w:pos="2268"/>
              </w:tabs>
              <w:spacing w:before="40" w:after="40"/>
              <w:ind w:left="927" w:hanging="567"/>
              <w:jc w:val="left"/>
              <w:rPr>
                <w:sz w:val="20"/>
              </w:rPr>
            </w:pPr>
            <w:r w:rsidRPr="0084391B">
              <w:rPr>
                <w:sz w:val="20"/>
              </w:rPr>
              <w:t xml:space="preserve">Una planificación espacial que tenga en cuenta la biodiversidadb; </w:t>
            </w:r>
          </w:p>
          <w:p w14:paraId="22C53422" w14:textId="6FFE6FF9" w:rsidR="00817A82" w:rsidRPr="0084391B" w:rsidRDefault="00817A82" w:rsidP="0084391B">
            <w:pPr>
              <w:pStyle w:val="Para1"/>
              <w:numPr>
                <w:ilvl w:val="0"/>
                <w:numId w:val="38"/>
              </w:numPr>
              <w:tabs>
                <w:tab w:val="clear" w:pos="1134"/>
                <w:tab w:val="left" w:pos="2268"/>
              </w:tabs>
              <w:spacing w:before="40" w:after="40"/>
              <w:ind w:left="927" w:hanging="567"/>
              <w:jc w:val="left"/>
              <w:rPr>
                <w:sz w:val="20"/>
              </w:rPr>
            </w:pPr>
            <w:r w:rsidRPr="0084391B">
              <w:rPr>
                <w:sz w:val="20"/>
              </w:rPr>
              <w:t>La contaminación y la biodiversidadb;</w:t>
            </w:r>
          </w:p>
          <w:p w14:paraId="29CA40E4" w14:textId="0C9AD56B" w:rsidR="00817A82" w:rsidRPr="0084391B" w:rsidRDefault="00817A82" w:rsidP="0084391B">
            <w:pPr>
              <w:pStyle w:val="Para1"/>
              <w:numPr>
                <w:ilvl w:val="0"/>
                <w:numId w:val="38"/>
              </w:numPr>
              <w:tabs>
                <w:tab w:val="clear" w:pos="1134"/>
                <w:tab w:val="left" w:pos="2268"/>
              </w:tabs>
              <w:spacing w:before="40" w:after="40"/>
              <w:ind w:left="927" w:hanging="567"/>
              <w:jc w:val="left"/>
              <w:rPr>
                <w:sz w:val="20"/>
              </w:rPr>
            </w:pPr>
            <w:r w:rsidRPr="0084391B">
              <w:rPr>
                <w:sz w:val="20"/>
              </w:rPr>
              <w:t>Las actividades, productos y servicios sostenibles basados en la biodiversidad y la bioeconomíab;</w:t>
            </w:r>
          </w:p>
          <w:p w14:paraId="195C6CA4" w14:textId="2AFA33C1" w:rsidR="00817A82" w:rsidRPr="0084391B" w:rsidRDefault="00817A82" w:rsidP="0084391B">
            <w:pPr>
              <w:pStyle w:val="Para1"/>
              <w:numPr>
                <w:ilvl w:val="0"/>
                <w:numId w:val="38"/>
              </w:numPr>
              <w:tabs>
                <w:tab w:val="clear" w:pos="1134"/>
                <w:tab w:val="left" w:pos="2268"/>
              </w:tabs>
              <w:spacing w:before="40" w:after="40"/>
              <w:ind w:left="927" w:hanging="567"/>
              <w:jc w:val="left"/>
              <w:rPr>
                <w:sz w:val="20"/>
              </w:rPr>
            </w:pPr>
            <w:r w:rsidRPr="0084391B">
              <w:rPr>
                <w:sz w:val="20"/>
              </w:rPr>
              <w:t>La equidad y el enfoque basado en los derechos humanos en relación con la conservación y la utilización sostenible de la biodiversidad</w:t>
            </w:r>
            <w:r w:rsidRPr="0084391B">
              <w:rPr>
                <w:i/>
                <w:sz w:val="20"/>
                <w:vertAlign w:val="superscript"/>
              </w:rPr>
              <w:t>b</w:t>
            </w:r>
            <w:r w:rsidRPr="0084391B">
              <w:rPr>
                <w:sz w:val="20"/>
              </w:rPr>
              <w:t>;</w:t>
            </w:r>
          </w:p>
          <w:p w14:paraId="7704C9CC" w14:textId="45D09EB0" w:rsidR="00817A82" w:rsidRPr="0084391B" w:rsidRDefault="00391B4F" w:rsidP="004378B1">
            <w:pPr>
              <w:keepNext/>
              <w:spacing w:before="40" w:after="40"/>
              <w:ind w:left="360" w:hanging="360"/>
              <w:jc w:val="left"/>
              <w:rPr>
                <w:snapToGrid w:val="0"/>
                <w:sz w:val="20"/>
                <w:szCs w:val="22"/>
              </w:rPr>
            </w:pPr>
            <w:r w:rsidRPr="0084391B">
              <w:rPr>
                <w:snapToGrid w:val="0"/>
                <w:sz w:val="20"/>
              </w:rPr>
              <w:t>e)</w:t>
            </w:r>
            <w:r w:rsidRPr="0084391B">
              <w:rPr>
                <w:snapToGrid w:val="0"/>
                <w:sz w:val="20"/>
              </w:rPr>
              <w:tab/>
            </w:r>
            <w:r w:rsidRPr="0084391B">
              <w:rPr>
                <w:sz w:val="20"/>
              </w:rPr>
              <w:t>[</w:t>
            </w:r>
            <w:r w:rsidRPr="0084391B">
              <w:rPr>
                <w:i/>
                <w:sz w:val="20"/>
              </w:rPr>
              <w:t>Otros elementos por determinar</w:t>
            </w:r>
            <w:r w:rsidRPr="0084391B">
              <w:rPr>
                <w:sz w:val="20"/>
              </w:rPr>
              <w:t>].</w:t>
            </w:r>
          </w:p>
        </w:tc>
      </w:tr>
      <w:tr w:rsidR="00817A82" w:rsidRPr="0084391B" w14:paraId="73BF068C" w14:textId="77777777" w:rsidTr="00817A82">
        <w:tc>
          <w:tcPr>
            <w:tcW w:w="1514" w:type="dxa"/>
            <w:tcBorders>
              <w:top w:val="single" w:sz="4" w:space="0" w:color="auto"/>
              <w:left w:val="single" w:sz="4" w:space="0" w:color="auto"/>
              <w:bottom w:val="single" w:sz="4" w:space="0" w:color="auto"/>
              <w:right w:val="single" w:sz="4" w:space="0" w:color="auto"/>
            </w:tcBorders>
          </w:tcPr>
          <w:p w14:paraId="607B2F5E" w14:textId="23F66A49" w:rsidR="00817A82" w:rsidRPr="0084391B" w:rsidRDefault="00024F92" w:rsidP="00D34DFB">
            <w:pPr>
              <w:keepNext/>
              <w:spacing w:before="40" w:after="40"/>
              <w:jc w:val="left"/>
              <w:rPr>
                <w:sz w:val="20"/>
                <w:szCs w:val="22"/>
              </w:rPr>
            </w:pPr>
            <w:r w:rsidRPr="0084391B">
              <w:rPr>
                <w:sz w:val="20"/>
              </w:rPr>
              <w:lastRenderedPageBreak/>
              <w:t>18ª reunión (2028)</w:t>
            </w:r>
          </w:p>
        </w:tc>
        <w:tc>
          <w:tcPr>
            <w:tcW w:w="7836" w:type="dxa"/>
            <w:tcBorders>
              <w:top w:val="single" w:sz="4" w:space="0" w:color="auto"/>
              <w:left w:val="single" w:sz="4" w:space="0" w:color="auto"/>
              <w:bottom w:val="single" w:sz="4" w:space="0" w:color="auto"/>
              <w:right w:val="single" w:sz="4" w:space="0" w:color="auto"/>
            </w:tcBorders>
          </w:tcPr>
          <w:p w14:paraId="70D50C80" w14:textId="3A714F95" w:rsidR="00817A82" w:rsidRPr="0084391B" w:rsidRDefault="004378B1" w:rsidP="00E77B5F">
            <w:pPr>
              <w:keepNext/>
              <w:tabs>
                <w:tab w:val="left" w:pos="414"/>
              </w:tabs>
              <w:spacing w:before="40" w:after="40"/>
              <w:ind w:left="360" w:hanging="360"/>
              <w:jc w:val="left"/>
              <w:rPr>
                <w:snapToGrid w:val="0"/>
                <w:sz w:val="20"/>
                <w:szCs w:val="22"/>
              </w:rPr>
            </w:pPr>
            <w:r w:rsidRPr="0084391B">
              <w:rPr>
                <w:sz w:val="20"/>
              </w:rPr>
              <w:t>a)</w:t>
            </w:r>
            <w:r w:rsidRPr="0084391B">
              <w:rPr>
                <w:sz w:val="20"/>
              </w:rPr>
              <w:tab/>
              <w:t>Revisión de la implementación del Marco y los medios de implementación conexos</w:t>
            </w:r>
            <w:r w:rsidRPr="0084391B">
              <w:rPr>
                <w:i/>
                <w:sz w:val="20"/>
                <w:vertAlign w:val="superscript"/>
              </w:rPr>
              <w:t>c</w:t>
            </w:r>
            <w:r w:rsidRPr="0084391B">
              <w:rPr>
                <w:sz w:val="20"/>
              </w:rPr>
              <w:t>;</w:t>
            </w:r>
          </w:p>
          <w:p w14:paraId="68577480" w14:textId="480E1D25" w:rsidR="001C5C87" w:rsidRPr="0084391B" w:rsidRDefault="004378B1" w:rsidP="00E77B5F">
            <w:pPr>
              <w:keepNext/>
              <w:tabs>
                <w:tab w:val="left" w:pos="414"/>
              </w:tabs>
              <w:spacing w:before="40" w:after="40"/>
              <w:ind w:left="360" w:hanging="360"/>
              <w:jc w:val="left"/>
              <w:rPr>
                <w:snapToGrid w:val="0"/>
                <w:sz w:val="20"/>
                <w:szCs w:val="22"/>
              </w:rPr>
            </w:pPr>
            <w:r w:rsidRPr="0084391B">
              <w:rPr>
                <w:snapToGrid w:val="0"/>
                <w:sz w:val="20"/>
              </w:rPr>
              <w:t>b)</w:t>
            </w:r>
            <w:r w:rsidRPr="0084391B">
              <w:rPr>
                <w:snapToGrid w:val="0"/>
                <w:sz w:val="20"/>
              </w:rPr>
              <w:tab/>
            </w:r>
            <w:r w:rsidRPr="0084391B">
              <w:rPr>
                <w:sz w:val="20"/>
              </w:rPr>
              <w:t>Medidas estratégicas para mejorar la aplicación del Convenio y la implementación del Marco, entre otras cosas en relación con los medios de implementación;</w:t>
            </w:r>
          </w:p>
          <w:p w14:paraId="793F2DBF" w14:textId="1298658C" w:rsidR="001C5C87" w:rsidRPr="0084391B" w:rsidRDefault="004378B1" w:rsidP="00D14CA8">
            <w:pPr>
              <w:keepNext/>
              <w:spacing w:before="40" w:after="40"/>
              <w:ind w:left="360" w:hanging="360"/>
              <w:jc w:val="left"/>
              <w:rPr>
                <w:sz w:val="20"/>
                <w:szCs w:val="20"/>
              </w:rPr>
            </w:pPr>
            <w:r w:rsidRPr="0084391B">
              <w:rPr>
                <w:snapToGrid w:val="0"/>
                <w:sz w:val="20"/>
              </w:rPr>
              <w:t>c)</w:t>
            </w:r>
            <w:r w:rsidRPr="0084391B">
              <w:rPr>
                <w:snapToGrid w:val="0"/>
                <w:sz w:val="20"/>
              </w:rPr>
              <w:tab/>
            </w:r>
            <w:r w:rsidRPr="0084391B">
              <w:rPr>
                <w:sz w:val="20"/>
              </w:rPr>
              <w:t>Revisión de las operaciones y el rendimiento del Fondo para el Marco Mundial de Biodiversidad y disposiciones futuras</w:t>
            </w:r>
            <w:r w:rsidRPr="0084391B">
              <w:rPr>
                <w:i/>
                <w:sz w:val="20"/>
                <w:vertAlign w:val="superscript"/>
              </w:rPr>
              <w:t>d</w:t>
            </w:r>
            <w:r w:rsidRPr="0084391B">
              <w:rPr>
                <w:sz w:val="20"/>
              </w:rPr>
              <w:t>;</w:t>
            </w:r>
          </w:p>
          <w:p w14:paraId="10FA36B6" w14:textId="5293A1ED" w:rsidR="00817A82" w:rsidRPr="0084391B" w:rsidRDefault="004378B1" w:rsidP="00D14CA8">
            <w:pPr>
              <w:keepNext/>
              <w:spacing w:before="40" w:after="40"/>
              <w:ind w:left="360" w:hanging="360"/>
              <w:jc w:val="left"/>
              <w:rPr>
                <w:sz w:val="20"/>
                <w:szCs w:val="22"/>
              </w:rPr>
            </w:pPr>
            <w:r w:rsidRPr="0084391B">
              <w:rPr>
                <w:snapToGrid w:val="0"/>
                <w:sz w:val="20"/>
              </w:rPr>
              <w:t>d)</w:t>
            </w:r>
            <w:r w:rsidRPr="0084391B">
              <w:rPr>
                <w:snapToGrid w:val="0"/>
                <w:sz w:val="20"/>
              </w:rPr>
              <w:tab/>
            </w:r>
            <w:r w:rsidRPr="0084391B">
              <w:rPr>
                <w:sz w:val="20"/>
              </w:rPr>
              <w:t>Marco cuatrienal de prioridades programáticas orientado a la obtención de resultados de las prioridades programáticas y evaluación de las necesidades de financiación para aportar información para la 10ª reposición de recursos del Fondo Fiduciario del Fondo para el Medio Ambiente Mundial (2030-2034);</w:t>
            </w:r>
          </w:p>
          <w:p w14:paraId="55B71FF4" w14:textId="071566D0" w:rsidR="00C51674" w:rsidRPr="0084391B" w:rsidRDefault="004378B1" w:rsidP="00D14CA8">
            <w:pPr>
              <w:keepNext/>
              <w:spacing w:before="40" w:after="40"/>
              <w:ind w:left="360" w:hanging="360"/>
              <w:jc w:val="left"/>
              <w:rPr>
                <w:snapToGrid w:val="0"/>
                <w:sz w:val="20"/>
                <w:szCs w:val="22"/>
              </w:rPr>
            </w:pPr>
            <w:r w:rsidRPr="0084391B">
              <w:rPr>
                <w:snapToGrid w:val="0"/>
                <w:sz w:val="20"/>
              </w:rPr>
              <w:t>e)</w:t>
            </w:r>
            <w:r w:rsidRPr="0084391B">
              <w:rPr>
                <w:snapToGrid w:val="0"/>
                <w:sz w:val="20"/>
              </w:rPr>
              <w:tab/>
              <w:t>Examen de la eficacia del mecanismo financiero;</w:t>
            </w:r>
          </w:p>
          <w:p w14:paraId="575D2E45" w14:textId="7569B0D3" w:rsidR="004A1B66" w:rsidRPr="0084391B" w:rsidRDefault="00D14CA8" w:rsidP="00D14CA8">
            <w:pPr>
              <w:keepNext/>
              <w:spacing w:before="40" w:after="40"/>
              <w:ind w:left="360" w:hanging="360"/>
              <w:jc w:val="left"/>
              <w:rPr>
                <w:snapToGrid w:val="0"/>
                <w:sz w:val="20"/>
              </w:rPr>
            </w:pPr>
            <w:r w:rsidRPr="0084391B">
              <w:t>f)</w:t>
            </w:r>
            <w:r w:rsidRPr="0084391B">
              <w:tab/>
              <w:t>Repercusiones para la labor del Convenio de las siguientes evaluaciones de la Plataforma Intergubernamental Científico-Normativa sobre Diversidad Biológica y Servicios de los Ecosistemas:</w:t>
            </w:r>
          </w:p>
          <w:p w14:paraId="73E1E5A2" w14:textId="1FC264E5" w:rsidR="004A1B66" w:rsidRPr="0084391B" w:rsidRDefault="004A1B66" w:rsidP="00E77B5F">
            <w:pPr>
              <w:pStyle w:val="Para1"/>
              <w:numPr>
                <w:ilvl w:val="0"/>
                <w:numId w:val="36"/>
              </w:numPr>
              <w:tabs>
                <w:tab w:val="clear" w:pos="1134"/>
                <w:tab w:val="left" w:pos="2268"/>
              </w:tabs>
              <w:spacing w:before="40" w:after="40"/>
              <w:ind w:left="927" w:hanging="567"/>
              <w:rPr>
                <w:sz w:val="20"/>
              </w:rPr>
            </w:pPr>
            <w:r w:rsidRPr="0084391B">
              <w:rPr>
                <w:sz w:val="20"/>
              </w:rPr>
              <w:t>Evaluación metodológica sobre la vigilancia de la diversidad biológica y las contribuciones de la naturaleza a las personas;</w:t>
            </w:r>
          </w:p>
          <w:p w14:paraId="3DAB291F" w14:textId="63DB5810" w:rsidR="004A1B66" w:rsidRPr="0084391B" w:rsidRDefault="004A1B66" w:rsidP="00E77B5F">
            <w:pPr>
              <w:pStyle w:val="Para1"/>
              <w:numPr>
                <w:ilvl w:val="0"/>
                <w:numId w:val="36"/>
              </w:numPr>
              <w:tabs>
                <w:tab w:val="clear" w:pos="1134"/>
                <w:tab w:val="left" w:pos="2268"/>
              </w:tabs>
              <w:spacing w:before="40" w:after="40"/>
              <w:ind w:left="927" w:hanging="567"/>
              <w:rPr>
                <w:sz w:val="20"/>
              </w:rPr>
            </w:pPr>
            <w:r w:rsidRPr="0084391B">
              <w:rPr>
                <w:sz w:val="20"/>
              </w:rPr>
              <w:t>Evaluación metodológica de la planificación espacial y la conectividad ecológica integradas que tengan en cuenta la diversidad biológica;</w:t>
            </w:r>
          </w:p>
          <w:p w14:paraId="6A119C29" w14:textId="2B983719" w:rsidR="00817A82" w:rsidRPr="0084391B" w:rsidRDefault="00D14CA8" w:rsidP="00D34DFB">
            <w:pPr>
              <w:keepNext/>
              <w:spacing w:before="40" w:after="40"/>
              <w:ind w:left="360" w:hanging="360"/>
              <w:jc w:val="left"/>
              <w:rPr>
                <w:sz w:val="20"/>
                <w:szCs w:val="22"/>
              </w:rPr>
            </w:pPr>
            <w:r w:rsidRPr="0084391B">
              <w:rPr>
                <w:sz w:val="20"/>
              </w:rPr>
              <w:t>g)</w:t>
            </w:r>
            <w:r w:rsidRPr="0084391B">
              <w:rPr>
                <w:sz w:val="20"/>
              </w:rPr>
              <w:tab/>
            </w:r>
            <w:r w:rsidRPr="0084391B">
              <w:rPr>
                <w:snapToGrid w:val="0"/>
                <w:sz w:val="20"/>
              </w:rPr>
              <w:t>Consideraciones para un instrumento que suceda al Marco;</w:t>
            </w:r>
          </w:p>
          <w:p w14:paraId="40A0CC01" w14:textId="7DC8A482" w:rsidR="00817A82" w:rsidRPr="0084391B" w:rsidRDefault="00817A82" w:rsidP="00E77B5F">
            <w:pPr>
              <w:pStyle w:val="Prrafodelista"/>
              <w:keepNext/>
              <w:numPr>
                <w:ilvl w:val="0"/>
                <w:numId w:val="35"/>
              </w:numPr>
              <w:spacing w:before="40" w:after="40"/>
              <w:ind w:left="360"/>
              <w:contextualSpacing w:val="0"/>
              <w:jc w:val="left"/>
              <w:rPr>
                <w:sz w:val="20"/>
              </w:rPr>
            </w:pPr>
            <w:r w:rsidRPr="0084391B">
              <w:rPr>
                <w:sz w:val="20"/>
              </w:rPr>
              <w:t>[</w:t>
            </w:r>
            <w:r w:rsidRPr="0084391B">
              <w:rPr>
                <w:i/>
                <w:sz w:val="20"/>
              </w:rPr>
              <w:t>Otros elementos por determinar</w:t>
            </w:r>
            <w:r w:rsidRPr="0084391B">
              <w:rPr>
                <w:sz w:val="20"/>
              </w:rPr>
              <w:t>].</w:t>
            </w:r>
          </w:p>
        </w:tc>
      </w:tr>
      <w:tr w:rsidR="00817A82" w:rsidRPr="0084391B" w14:paraId="76E6A067" w14:textId="77777777" w:rsidTr="00817A82">
        <w:tc>
          <w:tcPr>
            <w:tcW w:w="1514" w:type="dxa"/>
            <w:tcBorders>
              <w:top w:val="single" w:sz="4" w:space="0" w:color="auto"/>
              <w:left w:val="single" w:sz="4" w:space="0" w:color="auto"/>
              <w:bottom w:val="single" w:sz="4" w:space="0" w:color="auto"/>
              <w:right w:val="single" w:sz="4" w:space="0" w:color="auto"/>
            </w:tcBorders>
          </w:tcPr>
          <w:p w14:paraId="026B0DF1" w14:textId="067CD12D" w:rsidR="00817A82" w:rsidRPr="0084391B" w:rsidRDefault="00024F92" w:rsidP="00D34DFB">
            <w:pPr>
              <w:keepNext/>
              <w:spacing w:before="40" w:after="40"/>
              <w:jc w:val="left"/>
              <w:rPr>
                <w:sz w:val="20"/>
                <w:szCs w:val="22"/>
              </w:rPr>
            </w:pPr>
            <w:r w:rsidRPr="0084391B">
              <w:rPr>
                <w:sz w:val="20"/>
              </w:rPr>
              <w:t>19ª reunión (2030)</w:t>
            </w:r>
          </w:p>
        </w:tc>
        <w:tc>
          <w:tcPr>
            <w:tcW w:w="7836" w:type="dxa"/>
            <w:tcBorders>
              <w:top w:val="single" w:sz="4" w:space="0" w:color="auto"/>
              <w:left w:val="single" w:sz="4" w:space="0" w:color="auto"/>
              <w:bottom w:val="single" w:sz="4" w:space="0" w:color="auto"/>
              <w:right w:val="single" w:sz="4" w:space="0" w:color="auto"/>
            </w:tcBorders>
          </w:tcPr>
          <w:p w14:paraId="2FAB8CE1" w14:textId="5AE60A9D" w:rsidR="006C6C7F" w:rsidRPr="0084391B" w:rsidRDefault="00D14CA8" w:rsidP="00E77B5F">
            <w:pPr>
              <w:pStyle w:val="Prrafodelista"/>
              <w:keepNext/>
              <w:spacing w:before="40" w:after="40"/>
              <w:ind w:left="360" w:hanging="360"/>
              <w:contextualSpacing w:val="0"/>
              <w:jc w:val="left"/>
              <w:rPr>
                <w:sz w:val="20"/>
                <w:szCs w:val="22"/>
              </w:rPr>
            </w:pPr>
            <w:r w:rsidRPr="0084391B">
              <w:rPr>
                <w:snapToGrid w:val="0"/>
                <w:sz w:val="20"/>
              </w:rPr>
              <w:t>a)</w:t>
            </w:r>
            <w:r w:rsidRPr="0084391B">
              <w:rPr>
                <w:snapToGrid w:val="0"/>
                <w:sz w:val="20"/>
              </w:rPr>
              <w:tab/>
              <w:t xml:space="preserve">Revisión mundial de la implementación del Marco y de los medios de implementación conexos: evaluación final de los progresos realizados en la consecución de las metas del Marco sobre la base, entre otras cosas, de los </w:t>
            </w:r>
            <w:r w:rsidRPr="0084391B">
              <w:rPr>
                <w:sz w:val="20"/>
              </w:rPr>
              <w:t>octavos informes nacionales</w:t>
            </w:r>
            <w:r w:rsidRPr="0084391B">
              <w:rPr>
                <w:i/>
                <w:sz w:val="20"/>
                <w:vertAlign w:val="superscript"/>
              </w:rPr>
              <w:t>e</w:t>
            </w:r>
            <w:r w:rsidRPr="0084391B">
              <w:rPr>
                <w:sz w:val="20"/>
              </w:rPr>
              <w:t>;</w:t>
            </w:r>
          </w:p>
          <w:p w14:paraId="390C86CB" w14:textId="2EBEEEB6" w:rsidR="00817A82" w:rsidRPr="0084391B" w:rsidRDefault="00D14CA8" w:rsidP="00D14CA8">
            <w:pPr>
              <w:keepNext/>
              <w:spacing w:before="40" w:after="40"/>
              <w:ind w:left="360" w:hanging="360"/>
              <w:jc w:val="left"/>
              <w:rPr>
                <w:sz w:val="20"/>
                <w:szCs w:val="22"/>
              </w:rPr>
            </w:pPr>
            <w:r w:rsidRPr="0084391B">
              <w:rPr>
                <w:snapToGrid w:val="0"/>
                <w:sz w:val="20"/>
              </w:rPr>
              <w:t>b)</w:t>
            </w:r>
            <w:r w:rsidRPr="0084391B">
              <w:rPr>
                <w:snapToGrid w:val="0"/>
                <w:sz w:val="20"/>
              </w:rPr>
              <w:tab/>
              <w:t>Consideración de la segunda evaluación mundial de la diversidad biológica y los servicios de los ecosistemas de la Plataforma Intergubernamental Científico-Normativa sobre Diversidad Biológica y Servicios de los Ecosistemas</w:t>
            </w:r>
            <w:r w:rsidRPr="0084391B">
              <w:rPr>
                <w:sz w:val="20"/>
              </w:rPr>
              <w:t>;</w:t>
            </w:r>
          </w:p>
          <w:p w14:paraId="6FCB6137" w14:textId="6C1D4E40" w:rsidR="004A1B66" w:rsidRPr="0084391B" w:rsidRDefault="00D14CA8" w:rsidP="00D14CA8">
            <w:pPr>
              <w:keepNext/>
              <w:spacing w:before="40" w:after="40"/>
              <w:ind w:left="360" w:hanging="360"/>
              <w:jc w:val="left"/>
              <w:rPr>
                <w:snapToGrid w:val="0"/>
                <w:sz w:val="20"/>
                <w:szCs w:val="22"/>
              </w:rPr>
            </w:pPr>
            <w:r w:rsidRPr="0084391B">
              <w:rPr>
                <w:snapToGrid w:val="0"/>
                <w:sz w:val="20"/>
              </w:rPr>
              <w:t>c)</w:t>
            </w:r>
            <w:r w:rsidRPr="0084391B">
              <w:rPr>
                <w:snapToGrid w:val="0"/>
                <w:sz w:val="20"/>
              </w:rPr>
              <w:tab/>
            </w:r>
            <w:r w:rsidRPr="0084391B">
              <w:rPr>
                <w:sz w:val="20"/>
              </w:rPr>
              <w:t>Actualización del Marco, e instrumento que lo sucederá;</w:t>
            </w:r>
          </w:p>
          <w:p w14:paraId="5CA9BDE3" w14:textId="01728E34" w:rsidR="00D34DFB" w:rsidRPr="0084391B" w:rsidRDefault="00D14CA8" w:rsidP="00D14CA8">
            <w:pPr>
              <w:keepNext/>
              <w:spacing w:before="40" w:after="40"/>
              <w:ind w:left="360" w:hanging="360"/>
              <w:jc w:val="left"/>
              <w:rPr>
                <w:sz w:val="20"/>
                <w:szCs w:val="22"/>
              </w:rPr>
            </w:pPr>
            <w:r w:rsidRPr="0084391B">
              <w:rPr>
                <w:snapToGrid w:val="0"/>
                <w:sz w:val="20"/>
              </w:rPr>
              <w:t>d)</w:t>
            </w:r>
            <w:r w:rsidRPr="0084391B">
              <w:rPr>
                <w:snapToGrid w:val="0"/>
                <w:sz w:val="20"/>
              </w:rPr>
              <w:tab/>
            </w:r>
            <w:r w:rsidRPr="0084391B">
              <w:rPr>
                <w:sz w:val="20"/>
              </w:rPr>
              <w:t>[</w:t>
            </w:r>
            <w:r w:rsidRPr="0084391B">
              <w:rPr>
                <w:i/>
                <w:sz w:val="20"/>
              </w:rPr>
              <w:t>Otros elementos por determinar</w:t>
            </w:r>
            <w:r w:rsidRPr="0084391B">
              <w:rPr>
                <w:sz w:val="20"/>
              </w:rPr>
              <w:t>].</w:t>
            </w:r>
          </w:p>
        </w:tc>
      </w:tr>
    </w:tbl>
    <w:p w14:paraId="6D1C2346" w14:textId="1A300D8E" w:rsidR="008903EC" w:rsidRPr="0084391B" w:rsidRDefault="009F080D" w:rsidP="00E77B5F">
      <w:pPr>
        <w:pStyle w:val="Para1"/>
        <w:tabs>
          <w:tab w:val="clear" w:pos="1134"/>
          <w:tab w:val="left" w:pos="360"/>
        </w:tabs>
        <w:spacing w:after="40"/>
        <w:rPr>
          <w:sz w:val="18"/>
          <w:szCs w:val="18"/>
        </w:rPr>
      </w:pPr>
      <w:proofErr w:type="spellStart"/>
      <w:r w:rsidRPr="0084391B">
        <w:rPr>
          <w:i/>
          <w:sz w:val="18"/>
          <w:vertAlign w:val="superscript"/>
        </w:rPr>
        <w:t>a</w:t>
      </w:r>
      <w:proofErr w:type="spellEnd"/>
      <w:r w:rsidRPr="0084391B">
        <w:rPr>
          <w:sz w:val="18"/>
        </w:rPr>
        <w:tab/>
        <w:t>Se realizará conjuntamente con la revisión de la estrategia para la movilización de recursos (decisión </w:t>
      </w:r>
      <w:hyperlink r:id="rId21" w:history="1">
        <w:r w:rsidRPr="0084391B">
          <w:rPr>
            <w:rStyle w:val="Hipervnculo"/>
            <w:sz w:val="18"/>
          </w:rPr>
          <w:t>15/7</w:t>
        </w:r>
      </w:hyperlink>
      <w:r w:rsidR="0084391B" w:rsidRPr="0084391B">
        <w:t xml:space="preserve">, </w:t>
      </w:r>
      <w:r w:rsidRPr="0084391B">
        <w:rPr>
          <w:sz w:val="18"/>
        </w:rPr>
        <w:t xml:space="preserve">párr. 46), la revisión a mitad de período de la implementación del Plan de Acción sobre Género (2023-2030) (decisión </w:t>
      </w:r>
      <w:hyperlink r:id="rId22" w:history="1">
        <w:r w:rsidRPr="0084391B">
          <w:rPr>
            <w:rStyle w:val="Hipervnculo"/>
            <w:sz w:val="18"/>
          </w:rPr>
          <w:t>15/11</w:t>
        </w:r>
      </w:hyperlink>
      <w:r w:rsidRPr="0084391B">
        <w:rPr>
          <w:sz w:val="18"/>
        </w:rPr>
        <w:t xml:space="preserve">, párr. 9), la revisión del mecanismo de cooperación científica y técnica (decisión </w:t>
      </w:r>
      <w:hyperlink r:id="rId23" w:history="1">
        <w:r w:rsidRPr="0084391B">
          <w:rPr>
            <w:rStyle w:val="Hipervnculo"/>
            <w:sz w:val="18"/>
          </w:rPr>
          <w:t>15/8</w:t>
        </w:r>
      </w:hyperlink>
      <w:r w:rsidR="0084391B" w:rsidRPr="0084391B">
        <w:rPr>
          <w:rStyle w:val="Hipervnculo"/>
          <w:color w:val="auto"/>
          <w:sz w:val="18"/>
          <w:u w:val="none"/>
        </w:rPr>
        <w:t xml:space="preserve">, </w:t>
      </w:r>
      <w:r w:rsidRPr="0084391B">
        <w:rPr>
          <w:sz w:val="18"/>
        </w:rPr>
        <w:t>párr. 32 j)) y la revisión del papel de los gobiernos subnacionales, las ciudades y otras autoridades locales en la consecución de los objetivos de Convenio y sus Protocolos y el Marco (decisión </w:t>
      </w:r>
      <w:hyperlink r:id="rId24" w:history="1">
        <w:r w:rsidRPr="0084391B">
          <w:rPr>
            <w:rStyle w:val="Hipervnculo"/>
            <w:sz w:val="18"/>
          </w:rPr>
          <w:t>15/12</w:t>
        </w:r>
      </w:hyperlink>
      <w:r w:rsidR="0084391B" w:rsidRPr="0084391B">
        <w:rPr>
          <w:rStyle w:val="Hipervnculo"/>
          <w:color w:val="auto"/>
          <w:sz w:val="18"/>
          <w:u w:val="none"/>
        </w:rPr>
        <w:t>, </w:t>
      </w:r>
      <w:r w:rsidRPr="0084391B">
        <w:rPr>
          <w:sz w:val="18"/>
        </w:rPr>
        <w:t>párr. 7).</w:t>
      </w:r>
    </w:p>
    <w:p w14:paraId="25A78E9C" w14:textId="15641C07" w:rsidR="009F080D" w:rsidRPr="0084391B" w:rsidRDefault="009F080D" w:rsidP="00E77B5F">
      <w:pPr>
        <w:pStyle w:val="Para1"/>
        <w:tabs>
          <w:tab w:val="clear" w:pos="1134"/>
          <w:tab w:val="left" w:pos="360"/>
        </w:tabs>
        <w:spacing w:before="40" w:after="40"/>
        <w:rPr>
          <w:sz w:val="18"/>
          <w:szCs w:val="18"/>
        </w:rPr>
      </w:pPr>
      <w:r w:rsidRPr="0084391B">
        <w:rPr>
          <w:i/>
          <w:sz w:val="18"/>
          <w:vertAlign w:val="superscript"/>
        </w:rPr>
        <w:t>b</w:t>
      </w:r>
      <w:r w:rsidRPr="0084391B">
        <w:rPr>
          <w:sz w:val="18"/>
        </w:rPr>
        <w:tab/>
        <w:t>Sujeto a la recomendación que formule el Órgano Subsidiario de Asesoramiento Científico, Técnico y Tecnológico en su 26ª reunión.</w:t>
      </w:r>
    </w:p>
    <w:p w14:paraId="2BB10144" w14:textId="74D022E3" w:rsidR="00D74DB3" w:rsidRPr="0084391B" w:rsidRDefault="00D74DB3" w:rsidP="00E77B5F">
      <w:pPr>
        <w:pStyle w:val="Para1"/>
        <w:tabs>
          <w:tab w:val="clear" w:pos="1134"/>
          <w:tab w:val="left" w:pos="360"/>
        </w:tabs>
        <w:spacing w:before="40" w:after="40"/>
        <w:rPr>
          <w:sz w:val="18"/>
          <w:szCs w:val="18"/>
        </w:rPr>
      </w:pPr>
      <w:r w:rsidRPr="0084391B">
        <w:rPr>
          <w:i/>
          <w:sz w:val="18"/>
          <w:vertAlign w:val="superscript"/>
        </w:rPr>
        <w:t>c</w:t>
      </w:r>
      <w:r w:rsidRPr="0084391B">
        <w:rPr>
          <w:sz w:val="18"/>
        </w:rPr>
        <w:tab/>
        <w:t>Se realizará conjuntamente con la revisión ulterior de la estrategia para la movilización de recursos (decisión </w:t>
      </w:r>
      <w:r w:rsidRPr="001A7F17">
        <w:rPr>
          <w:sz w:val="18"/>
        </w:rPr>
        <w:t>15/7</w:t>
      </w:r>
      <w:r w:rsidR="001A7F17">
        <w:rPr>
          <w:rStyle w:val="Hipervnculo"/>
          <w:sz w:val="18"/>
        </w:rPr>
        <w:t xml:space="preserve">, </w:t>
      </w:r>
      <w:r w:rsidRPr="0084391B">
        <w:rPr>
          <w:sz w:val="18"/>
        </w:rPr>
        <w:t>párr. 46).</w:t>
      </w:r>
    </w:p>
    <w:p w14:paraId="4EAEE3EA" w14:textId="659CEDE7" w:rsidR="00CC0193" w:rsidRPr="0084391B" w:rsidRDefault="00CC0193" w:rsidP="00E77B5F">
      <w:pPr>
        <w:pStyle w:val="Para1"/>
        <w:tabs>
          <w:tab w:val="clear" w:pos="1134"/>
          <w:tab w:val="left" w:pos="360"/>
        </w:tabs>
        <w:spacing w:before="40" w:after="40"/>
        <w:rPr>
          <w:sz w:val="18"/>
          <w:szCs w:val="18"/>
        </w:rPr>
      </w:pPr>
      <w:r w:rsidRPr="0084391B">
        <w:rPr>
          <w:i/>
          <w:sz w:val="18"/>
          <w:vertAlign w:val="superscript"/>
        </w:rPr>
        <w:t>d</w:t>
      </w:r>
      <w:r w:rsidRPr="0084391B">
        <w:rPr>
          <w:sz w:val="18"/>
        </w:rPr>
        <w:tab/>
        <w:t>Decisión </w:t>
      </w:r>
      <w:hyperlink r:id="rId25" w:history="1">
        <w:r w:rsidRPr="0084391B">
          <w:rPr>
            <w:rStyle w:val="Hipervnculo"/>
            <w:sz w:val="18"/>
          </w:rPr>
          <w:t>15/15</w:t>
        </w:r>
      </w:hyperlink>
      <w:r w:rsidRPr="0084391B">
        <w:rPr>
          <w:rStyle w:val="Hipervnculo"/>
          <w:sz w:val="18"/>
        </w:rPr>
        <w:t>,</w:t>
      </w:r>
      <w:r w:rsidRPr="0084391B">
        <w:rPr>
          <w:sz w:val="18"/>
        </w:rPr>
        <w:t xml:space="preserve"> párr. 29.</w:t>
      </w:r>
    </w:p>
    <w:p w14:paraId="701A22C4" w14:textId="32F327E8" w:rsidR="001C5E62" w:rsidRPr="0084391B" w:rsidRDefault="001C5E62" w:rsidP="00E77B5F">
      <w:pPr>
        <w:pStyle w:val="Para1"/>
        <w:tabs>
          <w:tab w:val="clear" w:pos="1134"/>
          <w:tab w:val="left" w:pos="360"/>
        </w:tabs>
        <w:spacing w:before="40"/>
        <w:rPr>
          <w:sz w:val="18"/>
          <w:szCs w:val="18"/>
        </w:rPr>
      </w:pPr>
      <w:proofErr w:type="spellStart"/>
      <w:r w:rsidRPr="0084391B">
        <w:rPr>
          <w:i/>
          <w:sz w:val="18"/>
          <w:vertAlign w:val="superscript"/>
        </w:rPr>
        <w:t>e</w:t>
      </w:r>
      <w:proofErr w:type="spellEnd"/>
      <w:r w:rsidRPr="0084391B">
        <w:rPr>
          <w:sz w:val="18"/>
        </w:rPr>
        <w:tab/>
        <w:t>Se realizará conjuntamente con la evaluación del marco estratégico a largo plazo para la creación y el desarrollo de capacidad (decisión </w:t>
      </w:r>
      <w:r w:rsidRPr="001A7F17">
        <w:rPr>
          <w:sz w:val="18"/>
        </w:rPr>
        <w:t>15/8</w:t>
      </w:r>
      <w:r w:rsidR="0084391B" w:rsidRPr="0084391B">
        <w:rPr>
          <w:rStyle w:val="Hipervnculo"/>
          <w:color w:val="auto"/>
          <w:sz w:val="18"/>
          <w:u w:val="none"/>
        </w:rPr>
        <w:t xml:space="preserve">, </w:t>
      </w:r>
      <w:r w:rsidRPr="0084391B">
        <w:rPr>
          <w:sz w:val="18"/>
        </w:rPr>
        <w:t>párr. 16 i)) y otros mecanismos adoptados por la Conferencia de las Partes para apoyar los medios de implementación.</w:t>
      </w:r>
    </w:p>
    <w:p w14:paraId="31E1C4FD" w14:textId="77777777" w:rsidR="002B559C" w:rsidRPr="0084391B" w:rsidRDefault="00ED3849">
      <w:pPr>
        <w:pStyle w:val="Para1"/>
        <w:jc w:val="center"/>
      </w:pPr>
      <w:r w:rsidRPr="0084391B">
        <w:t>__________</w:t>
      </w:r>
    </w:p>
    <w:sectPr w:rsidR="002B559C" w:rsidRPr="0084391B" w:rsidSect="009F5B5E">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C59E4" w14:textId="77777777" w:rsidR="009F5B5E" w:rsidRDefault="009F5B5E" w:rsidP="00A96B21">
      <w:r>
        <w:separator/>
      </w:r>
    </w:p>
  </w:endnote>
  <w:endnote w:type="continuationSeparator" w:id="0">
    <w:p w14:paraId="13374232" w14:textId="77777777" w:rsidR="009F5B5E" w:rsidRDefault="009F5B5E" w:rsidP="00A96B21">
      <w:r>
        <w:continuationSeparator/>
      </w:r>
    </w:p>
  </w:endnote>
  <w:endnote w:type="continuationNotice" w:id="1">
    <w:p w14:paraId="143F3D53" w14:textId="77777777" w:rsidR="009F5B5E" w:rsidRDefault="009F5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D142CA" w:rsidRDefault="00D142CA">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D142CA" w:rsidRDefault="00D142CA" w:rsidP="002B559C">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31E2C" w14:textId="77777777" w:rsidR="009F5B5E" w:rsidRDefault="009F5B5E" w:rsidP="00A96B21">
      <w:r>
        <w:separator/>
      </w:r>
    </w:p>
  </w:footnote>
  <w:footnote w:type="continuationSeparator" w:id="0">
    <w:p w14:paraId="61A68CB5" w14:textId="77777777" w:rsidR="009F5B5E" w:rsidRDefault="009F5B5E" w:rsidP="00A96B21">
      <w:r>
        <w:continuationSeparator/>
      </w:r>
    </w:p>
  </w:footnote>
  <w:footnote w:type="continuationNotice" w:id="1">
    <w:p w14:paraId="7DC1AE3F" w14:textId="77777777" w:rsidR="009F5B5E" w:rsidRDefault="009F5B5E"/>
  </w:footnote>
  <w:footnote w:id="2">
    <w:p w14:paraId="6F3409D4" w14:textId="4FB2C327" w:rsidR="00D142CA" w:rsidRPr="008B10BB" w:rsidRDefault="00D142CA" w:rsidP="00D71FFB">
      <w:pPr>
        <w:pStyle w:val="Footnote"/>
      </w:pPr>
      <w:r>
        <w:rPr>
          <w:rStyle w:val="Refdenotaalpie"/>
        </w:rPr>
        <w:t>*</w:t>
      </w:r>
      <w:r>
        <w:t xml:space="preserve"> </w:t>
      </w:r>
      <w:hyperlink r:id="rId1" w:history="1">
        <w:r>
          <w:rPr>
            <w:rStyle w:val="Hipervnculo"/>
          </w:rPr>
          <w:t>CBD/SBI/4/1</w:t>
        </w:r>
      </w:hyperlink>
      <w:r>
        <w:t>.</w:t>
      </w:r>
    </w:p>
  </w:footnote>
  <w:footnote w:id="3">
    <w:p w14:paraId="65BAF731" w14:textId="19176FBD" w:rsidR="00D142CA" w:rsidRPr="00E77B5F" w:rsidRDefault="00D142CA">
      <w:pPr>
        <w:pStyle w:val="Textonotapie"/>
        <w:rPr>
          <w:sz w:val="18"/>
          <w:szCs w:val="18"/>
        </w:rPr>
      </w:pPr>
      <w:r>
        <w:rPr>
          <w:rStyle w:val="Refdenotaalpie"/>
          <w:sz w:val="18"/>
          <w:szCs w:val="18"/>
        </w:rPr>
        <w:footnoteRef/>
      </w:r>
      <w:r>
        <w:rPr>
          <w:sz w:val="18"/>
        </w:rPr>
        <w:t xml:space="preserve"> Señalando que, en consonancia con las decisiones </w:t>
      </w:r>
      <w:hyperlink r:id="rId2" w:history="1">
        <w:r>
          <w:rPr>
            <w:rStyle w:val="Hipervnculo"/>
            <w:sz w:val="18"/>
          </w:rPr>
          <w:t>XI/13 C</w:t>
        </w:r>
      </w:hyperlink>
      <w:r>
        <w:rPr>
          <w:sz w:val="18"/>
        </w:rPr>
        <w:t xml:space="preserve"> y </w:t>
      </w:r>
      <w:hyperlink r:id="rId3" w:history="1">
        <w:r>
          <w:rPr>
            <w:rStyle w:val="Hipervnculo"/>
            <w:sz w:val="18"/>
          </w:rPr>
          <w:t>XII/25</w:t>
        </w:r>
      </w:hyperlink>
      <w:r>
        <w:rPr>
          <w:sz w:val="18"/>
        </w:rPr>
        <w:t xml:space="preserve">, </w:t>
      </w:r>
      <w:bookmarkStart w:id="1" w:name="_Hlk164629002"/>
      <w:r>
        <w:rPr>
          <w:sz w:val="18"/>
        </w:rPr>
        <w:t xml:space="preserve">el Órgano Subsidiario de Asesoramiento Científico, Técnico y Tecnológico </w:t>
      </w:r>
      <w:bookmarkEnd w:id="1"/>
      <w:r>
        <w:rPr>
          <w:sz w:val="18"/>
        </w:rPr>
        <w:t>debe examinar los productos previstos de la Plataforma Intergubernamental Científico-Normativa sobre Diversidad Biológica y Servicios de los Ecosistemas a fin de determinar las posibles repercusiones en la labor del Convenio para su ulterior examen por la Conferencia de las Partes. En el documento CBD/SBSTTA/26/3/Add.1 se presenta un calendario de los futuros informes de evaluación.</w:t>
      </w:r>
    </w:p>
  </w:footnote>
  <w:footnote w:id="4">
    <w:p w14:paraId="382FB067" w14:textId="2C80ACE1" w:rsidR="00D142CA" w:rsidRPr="008B10BB" w:rsidRDefault="00D142CA" w:rsidP="007E3FC0">
      <w:pPr>
        <w:pStyle w:val="Textonotapie"/>
        <w:rPr>
          <w:sz w:val="18"/>
          <w:szCs w:val="18"/>
        </w:rPr>
      </w:pPr>
      <w:r>
        <w:rPr>
          <w:rStyle w:val="Refdenotaalpie"/>
          <w:sz w:val="18"/>
          <w:szCs w:val="18"/>
        </w:rPr>
        <w:footnoteRef/>
      </w:r>
      <w:r>
        <w:rPr>
          <w:sz w:val="18"/>
        </w:rPr>
        <w:t xml:space="preserve"> Como se describe en los documentos </w:t>
      </w:r>
      <w:hyperlink r:id="rId4" w:history="1">
        <w:r>
          <w:rPr>
            <w:rStyle w:val="Hipervnculo"/>
          </w:rPr>
          <w:t>CBD</w:t>
        </w:r>
        <w:r>
          <w:rPr>
            <w:rStyle w:val="Hipervnculo"/>
            <w:sz w:val="18"/>
          </w:rPr>
          <w:t>/</w:t>
        </w:r>
        <w:r>
          <w:rPr>
            <w:rStyle w:val="Hipervnculo"/>
          </w:rPr>
          <w:t>SBSTTA</w:t>
        </w:r>
        <w:r>
          <w:rPr>
            <w:rStyle w:val="Hipervnculo"/>
            <w:sz w:val="18"/>
          </w:rPr>
          <w:t>/26/3</w:t>
        </w:r>
      </w:hyperlink>
      <w:r>
        <w:rPr>
          <w:sz w:val="18"/>
        </w:rPr>
        <w:t xml:space="preserve"> y </w:t>
      </w:r>
      <w:hyperlink r:id="rId5" w:history="1">
        <w:r>
          <w:rPr>
            <w:rStyle w:val="Hipervnculo"/>
          </w:rPr>
          <w:t>CBD</w:t>
        </w:r>
        <w:r>
          <w:rPr>
            <w:rStyle w:val="Hipervnculo"/>
            <w:sz w:val="18"/>
          </w:rPr>
          <w:t>/</w:t>
        </w:r>
        <w:r>
          <w:rPr>
            <w:rStyle w:val="Hipervnculo"/>
          </w:rPr>
          <w:t>SBSTTA</w:t>
        </w:r>
        <w:r>
          <w:rPr>
            <w:rStyle w:val="Hipervnculo"/>
            <w:sz w:val="18"/>
          </w:rPr>
          <w:t>/26/</w:t>
        </w:r>
        <w:r>
          <w:rPr>
            <w:rStyle w:val="Hipervnculo"/>
          </w:rPr>
          <w:t>INF</w:t>
        </w:r>
        <w:r>
          <w:rPr>
            <w:rStyle w:val="Hipervnculo"/>
            <w:sz w:val="18"/>
          </w:rPr>
          <w:t>/15</w:t>
        </w:r>
      </w:hyperlink>
      <w:r>
        <w:rPr>
          <w:sz w:val="18"/>
        </w:rPr>
        <w:t>.</w:t>
      </w:r>
    </w:p>
  </w:footnote>
  <w:footnote w:id="5">
    <w:p w14:paraId="4BF7860D" w14:textId="3E385EB4" w:rsidR="00D142CA" w:rsidRPr="008B10BB" w:rsidRDefault="00D142CA">
      <w:pPr>
        <w:pStyle w:val="Textonotapie"/>
        <w:rPr>
          <w:sz w:val="18"/>
          <w:szCs w:val="18"/>
        </w:rPr>
      </w:pPr>
      <w:r>
        <w:rPr>
          <w:rStyle w:val="Refdenotaalpie"/>
          <w:sz w:val="18"/>
          <w:szCs w:val="18"/>
        </w:rPr>
        <w:footnoteRef/>
      </w:r>
      <w:r>
        <w:rPr>
          <w:sz w:val="18"/>
        </w:rPr>
        <w:t xml:space="preserve"> Señalando que, como se indica en la nota de pie de página del anexo del proyecto de decisión, los temas específicos señalados a este respecto son provisionales, sujeto a su consideración por el Órgano Subsidiario en su 26ª reunión y, posteriormente, por la Conferencia de las Partes en su 16ª reunión.</w:t>
      </w:r>
    </w:p>
  </w:footnote>
  <w:footnote w:id="6">
    <w:p w14:paraId="2A6CBA2A" w14:textId="0C0D5685" w:rsidR="00CA4714" w:rsidRPr="00E77B5F" w:rsidRDefault="00CA4714">
      <w:pPr>
        <w:pStyle w:val="Textonotapie"/>
        <w:rPr>
          <w:sz w:val="18"/>
          <w:szCs w:val="18"/>
        </w:rPr>
      </w:pPr>
      <w:r>
        <w:rPr>
          <w:rStyle w:val="Refdenotaalpie"/>
          <w:sz w:val="18"/>
          <w:szCs w:val="18"/>
        </w:rPr>
        <w:footnoteRef/>
      </w:r>
      <w:r>
        <w:rPr>
          <w:sz w:val="18"/>
        </w:rPr>
        <w:t xml:space="preserve"> Decisión </w:t>
      </w:r>
      <w:r w:rsidRPr="0084391B">
        <w:rPr>
          <w:sz w:val="18"/>
        </w:rPr>
        <w:t>15/4</w:t>
      </w:r>
      <w:r>
        <w:rPr>
          <w:sz w:val="18"/>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7138B884" w14:textId="0575E20F" w:rsidR="00D142CA" w:rsidRPr="002B559C" w:rsidRDefault="00000000" w:rsidP="002B559C">
    <w:pPr>
      <w:pStyle w:val="Encabezado"/>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50F2B">
          <w:rPr>
            <w:sz w:val="20"/>
            <w:szCs w:val="20"/>
            <w:lang w:val="fr-FR"/>
          </w:rPr>
          <w:t>CBD/SBI/4/15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351DAD2F" w:rsidR="00D142CA" w:rsidRPr="002B559C" w:rsidRDefault="00150F2B" w:rsidP="002B559C">
        <w:pPr>
          <w:pStyle w:val="Encabezado"/>
          <w:pBdr>
            <w:bottom w:val="single" w:sz="4" w:space="1" w:color="auto"/>
          </w:pBdr>
          <w:spacing w:after="240"/>
          <w:jc w:val="right"/>
          <w:rPr>
            <w:sz w:val="20"/>
            <w:szCs w:val="20"/>
            <w:lang w:val="fr-FR"/>
          </w:rPr>
        </w:pPr>
        <w:r>
          <w:rPr>
            <w:sz w:val="20"/>
            <w:szCs w:val="20"/>
            <w:lang w:val="fr-FR"/>
          </w:rPr>
          <w:t>CBD/SBI/4/15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471C4"/>
    <w:multiLevelType w:val="hybridMultilevel"/>
    <w:tmpl w:val="28BC0EE4"/>
    <w:lvl w:ilvl="0" w:tplc="71EAA5E2">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A493ED1"/>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 w15:restartNumberingAfterBreak="0">
    <w:nsid w:val="12074D2D"/>
    <w:multiLevelType w:val="hybridMultilevel"/>
    <w:tmpl w:val="DC92705E"/>
    <w:lvl w:ilvl="0" w:tplc="612AE26E">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DBD1D07"/>
    <w:multiLevelType w:val="hybridMultilevel"/>
    <w:tmpl w:val="8DEA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D01AA"/>
    <w:multiLevelType w:val="hybridMultilevel"/>
    <w:tmpl w:val="23EC71A4"/>
    <w:lvl w:ilvl="0" w:tplc="6E123F84">
      <w:start w:val="1"/>
      <w:numFmt w:val="lowerRoman"/>
      <w:lvlText w:val="%1)"/>
      <w:lvlJc w:val="left"/>
      <w:pPr>
        <w:ind w:left="1138" w:hanging="64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57532C8"/>
    <w:multiLevelType w:val="hybridMultilevel"/>
    <w:tmpl w:val="C8C6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1" w15:restartNumberingAfterBreak="0">
    <w:nsid w:val="2AC17AC3"/>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2"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0C41482"/>
    <w:multiLevelType w:val="hybridMultilevel"/>
    <w:tmpl w:val="08609BB2"/>
    <w:lvl w:ilvl="0" w:tplc="517C9B80">
      <w:start w:val="1"/>
      <w:numFmt w:val="lowerLetter"/>
      <w:lvlText w:val="(%1)"/>
      <w:lvlJc w:val="left"/>
      <w:pPr>
        <w:ind w:left="1138" w:hanging="64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0" w15:restartNumberingAfterBreak="0">
    <w:nsid w:val="61FD7789"/>
    <w:multiLevelType w:val="hybridMultilevel"/>
    <w:tmpl w:val="A4D4C9A8"/>
    <w:lvl w:ilvl="0" w:tplc="660EAF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5ED0129"/>
    <w:multiLevelType w:val="hybridMultilevel"/>
    <w:tmpl w:val="FB1E4CA2"/>
    <w:lvl w:ilvl="0" w:tplc="612AE26E">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68B70991"/>
    <w:multiLevelType w:val="hybridMultilevel"/>
    <w:tmpl w:val="C7B2AEF4"/>
    <w:lvl w:ilvl="0" w:tplc="6B98FDBC">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4274B37"/>
    <w:multiLevelType w:val="hybridMultilevel"/>
    <w:tmpl w:val="9616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34528349">
    <w:abstractNumId w:val="14"/>
  </w:num>
  <w:num w:numId="2" w16cid:durableId="1904480901">
    <w:abstractNumId w:val="24"/>
  </w:num>
  <w:num w:numId="3" w16cid:durableId="1942178185">
    <w:abstractNumId w:val="26"/>
  </w:num>
  <w:num w:numId="4" w16cid:durableId="129791789">
    <w:abstractNumId w:val="5"/>
  </w:num>
  <w:num w:numId="5" w16cid:durableId="1936131510">
    <w:abstractNumId w:val="6"/>
  </w:num>
  <w:num w:numId="6" w16cid:durableId="675427181">
    <w:abstractNumId w:val="6"/>
  </w:num>
  <w:num w:numId="7" w16cid:durableId="1081876340">
    <w:abstractNumId w:val="9"/>
  </w:num>
  <w:num w:numId="8" w16cid:durableId="645939512">
    <w:abstractNumId w:val="17"/>
  </w:num>
  <w:num w:numId="9" w16cid:durableId="1193305208">
    <w:abstractNumId w:val="22"/>
  </w:num>
  <w:num w:numId="10" w16cid:durableId="1993363109">
    <w:abstractNumId w:val="21"/>
  </w:num>
  <w:num w:numId="11" w16cid:durableId="904295936">
    <w:abstractNumId w:val="16"/>
  </w:num>
  <w:num w:numId="12" w16cid:durableId="1885949633">
    <w:abstractNumId w:val="8"/>
  </w:num>
  <w:num w:numId="13" w16cid:durableId="1015109979">
    <w:abstractNumId w:val="8"/>
    <w:lvlOverride w:ilvl="0">
      <w:startOverride w:val="1"/>
    </w:lvlOverride>
  </w:num>
  <w:num w:numId="14" w16cid:durableId="1674992762">
    <w:abstractNumId w:val="18"/>
  </w:num>
  <w:num w:numId="15" w16cid:durableId="637149397">
    <w:abstractNumId w:val="18"/>
    <w:lvlOverride w:ilvl="0">
      <w:startOverride w:val="1"/>
    </w:lvlOverride>
  </w:num>
  <w:num w:numId="16" w16cid:durableId="2124767978">
    <w:abstractNumId w:val="24"/>
    <w:lvlOverride w:ilvl="0">
      <w:startOverride w:val="1"/>
    </w:lvlOverride>
  </w:num>
  <w:num w:numId="17" w16cid:durableId="1884058727">
    <w:abstractNumId w:val="18"/>
    <w:lvlOverride w:ilvl="0">
      <w:startOverride w:val="1"/>
    </w:lvlOverride>
  </w:num>
  <w:num w:numId="18" w16cid:durableId="802389149">
    <w:abstractNumId w:val="27"/>
  </w:num>
  <w:num w:numId="19" w16cid:durableId="887228458">
    <w:abstractNumId w:val="24"/>
    <w:lvlOverride w:ilvl="0">
      <w:startOverride w:val="1"/>
    </w:lvlOverride>
  </w:num>
  <w:num w:numId="20" w16cid:durableId="2031493968">
    <w:abstractNumId w:val="24"/>
    <w:lvlOverride w:ilvl="0">
      <w:startOverride w:val="1"/>
    </w:lvlOverride>
  </w:num>
  <w:num w:numId="21" w16cid:durableId="588583935">
    <w:abstractNumId w:val="15"/>
  </w:num>
  <w:num w:numId="22" w16cid:durableId="55129302">
    <w:abstractNumId w:val="15"/>
    <w:lvlOverride w:ilvl="0">
      <w:startOverride w:val="1"/>
    </w:lvlOverride>
  </w:num>
  <w:num w:numId="23" w16cid:durableId="994914948">
    <w:abstractNumId w:val="24"/>
    <w:lvlOverride w:ilvl="0">
      <w:startOverride w:val="1"/>
    </w:lvlOverride>
  </w:num>
  <w:num w:numId="24" w16cid:durableId="1074935240">
    <w:abstractNumId w:val="13"/>
  </w:num>
  <w:num w:numId="25" w16cid:durableId="1281061772">
    <w:abstractNumId w:val="12"/>
  </w:num>
  <w:num w:numId="26" w16cid:durableId="683824963">
    <w:abstractNumId w:val="3"/>
  </w:num>
  <w:num w:numId="27" w16cid:durableId="1061899916">
    <w:abstractNumId w:val="19"/>
  </w:num>
  <w:num w:numId="28" w16cid:durableId="1683508535">
    <w:abstractNumId w:val="20"/>
  </w:num>
  <w:num w:numId="29" w16cid:durableId="46610108">
    <w:abstractNumId w:val="11"/>
  </w:num>
  <w:num w:numId="30" w16cid:durableId="643975177">
    <w:abstractNumId w:val="7"/>
  </w:num>
  <w:num w:numId="31" w16cid:durableId="872771090">
    <w:abstractNumId w:val="25"/>
  </w:num>
  <w:num w:numId="32" w16cid:durableId="493957310">
    <w:abstractNumId w:val="1"/>
  </w:num>
  <w:num w:numId="33" w16cid:durableId="1040203830">
    <w:abstractNumId w:val="23"/>
  </w:num>
  <w:num w:numId="34" w16cid:durableId="829247557">
    <w:abstractNumId w:val="10"/>
  </w:num>
  <w:num w:numId="35" w16cid:durableId="162012270">
    <w:abstractNumId w:val="0"/>
  </w:num>
  <w:num w:numId="36" w16cid:durableId="2141068874">
    <w:abstractNumId w:val="2"/>
  </w:num>
  <w:num w:numId="37" w16cid:durableId="825128709">
    <w:abstractNumId w:val="24"/>
  </w:num>
  <w:num w:numId="38" w16cid:durableId="67852107">
    <w:abstractNumId w:val="4"/>
  </w:num>
  <w:num w:numId="39" w16cid:durableId="202165672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FF5"/>
    <w:rsid w:val="00002391"/>
    <w:rsid w:val="00005359"/>
    <w:rsid w:val="00005594"/>
    <w:rsid w:val="00005A31"/>
    <w:rsid w:val="00007426"/>
    <w:rsid w:val="00007F27"/>
    <w:rsid w:val="000116F9"/>
    <w:rsid w:val="000123F9"/>
    <w:rsid w:val="00014318"/>
    <w:rsid w:val="00015FBF"/>
    <w:rsid w:val="000160AE"/>
    <w:rsid w:val="00016C84"/>
    <w:rsid w:val="00017BE3"/>
    <w:rsid w:val="00024F92"/>
    <w:rsid w:val="00026674"/>
    <w:rsid w:val="0002694E"/>
    <w:rsid w:val="00027056"/>
    <w:rsid w:val="00027BF3"/>
    <w:rsid w:val="00033B9B"/>
    <w:rsid w:val="00035005"/>
    <w:rsid w:val="000353BA"/>
    <w:rsid w:val="000379F0"/>
    <w:rsid w:val="00040598"/>
    <w:rsid w:val="00041541"/>
    <w:rsid w:val="00044DF3"/>
    <w:rsid w:val="00047449"/>
    <w:rsid w:val="00047ECA"/>
    <w:rsid w:val="000507CA"/>
    <w:rsid w:val="00051403"/>
    <w:rsid w:val="0005206D"/>
    <w:rsid w:val="00052B66"/>
    <w:rsid w:val="0005355D"/>
    <w:rsid w:val="000558B2"/>
    <w:rsid w:val="00061EAB"/>
    <w:rsid w:val="000656AA"/>
    <w:rsid w:val="00066569"/>
    <w:rsid w:val="000669DF"/>
    <w:rsid w:val="00067544"/>
    <w:rsid w:val="000675CB"/>
    <w:rsid w:val="00073A02"/>
    <w:rsid w:val="00077749"/>
    <w:rsid w:val="00077E9F"/>
    <w:rsid w:val="00082DCC"/>
    <w:rsid w:val="0008350D"/>
    <w:rsid w:val="000859CE"/>
    <w:rsid w:val="000869A2"/>
    <w:rsid w:val="00086CC2"/>
    <w:rsid w:val="0008728C"/>
    <w:rsid w:val="000907DE"/>
    <w:rsid w:val="00091EC6"/>
    <w:rsid w:val="00092522"/>
    <w:rsid w:val="00095F0F"/>
    <w:rsid w:val="00096324"/>
    <w:rsid w:val="00097E4D"/>
    <w:rsid w:val="000A05D5"/>
    <w:rsid w:val="000A0A17"/>
    <w:rsid w:val="000A1281"/>
    <w:rsid w:val="000A165B"/>
    <w:rsid w:val="000A5E7E"/>
    <w:rsid w:val="000A6804"/>
    <w:rsid w:val="000A7EB3"/>
    <w:rsid w:val="000B1710"/>
    <w:rsid w:val="000B3CAF"/>
    <w:rsid w:val="000B50B1"/>
    <w:rsid w:val="000C2B4C"/>
    <w:rsid w:val="000C3416"/>
    <w:rsid w:val="000C5941"/>
    <w:rsid w:val="000C6996"/>
    <w:rsid w:val="000C6F16"/>
    <w:rsid w:val="000D0EEF"/>
    <w:rsid w:val="000D12FC"/>
    <w:rsid w:val="000D45B0"/>
    <w:rsid w:val="000D4DD2"/>
    <w:rsid w:val="000D4F28"/>
    <w:rsid w:val="000E0711"/>
    <w:rsid w:val="000F1821"/>
    <w:rsid w:val="000F1D9E"/>
    <w:rsid w:val="000F3080"/>
    <w:rsid w:val="000F4097"/>
    <w:rsid w:val="000F63CB"/>
    <w:rsid w:val="00101A1C"/>
    <w:rsid w:val="00101C22"/>
    <w:rsid w:val="0010270D"/>
    <w:rsid w:val="00105185"/>
    <w:rsid w:val="00110BC1"/>
    <w:rsid w:val="00111659"/>
    <w:rsid w:val="001127C6"/>
    <w:rsid w:val="0011610B"/>
    <w:rsid w:val="0012034B"/>
    <w:rsid w:val="00121254"/>
    <w:rsid w:val="001214E6"/>
    <w:rsid w:val="0012202A"/>
    <w:rsid w:val="0012539B"/>
    <w:rsid w:val="0012592E"/>
    <w:rsid w:val="00126B50"/>
    <w:rsid w:val="00126B53"/>
    <w:rsid w:val="00127FC4"/>
    <w:rsid w:val="00131992"/>
    <w:rsid w:val="00132581"/>
    <w:rsid w:val="00137D87"/>
    <w:rsid w:val="001426F9"/>
    <w:rsid w:val="00143AA2"/>
    <w:rsid w:val="00143B75"/>
    <w:rsid w:val="00150F2B"/>
    <w:rsid w:val="00152895"/>
    <w:rsid w:val="00156271"/>
    <w:rsid w:val="00156B4D"/>
    <w:rsid w:val="00160F41"/>
    <w:rsid w:val="0016518B"/>
    <w:rsid w:val="00165C77"/>
    <w:rsid w:val="00165F1F"/>
    <w:rsid w:val="00173D6A"/>
    <w:rsid w:val="00181756"/>
    <w:rsid w:val="00182617"/>
    <w:rsid w:val="00183D9E"/>
    <w:rsid w:val="00184909"/>
    <w:rsid w:val="00190968"/>
    <w:rsid w:val="00190B4B"/>
    <w:rsid w:val="00191CD1"/>
    <w:rsid w:val="00192D71"/>
    <w:rsid w:val="0019402C"/>
    <w:rsid w:val="00197B4B"/>
    <w:rsid w:val="00197F74"/>
    <w:rsid w:val="001A17DE"/>
    <w:rsid w:val="001A231C"/>
    <w:rsid w:val="001A342E"/>
    <w:rsid w:val="001A7DF1"/>
    <w:rsid w:val="001A7F17"/>
    <w:rsid w:val="001B1A4A"/>
    <w:rsid w:val="001B2549"/>
    <w:rsid w:val="001C0667"/>
    <w:rsid w:val="001C11E0"/>
    <w:rsid w:val="001C5C87"/>
    <w:rsid w:val="001C5E62"/>
    <w:rsid w:val="001D1049"/>
    <w:rsid w:val="001D35BF"/>
    <w:rsid w:val="001D5062"/>
    <w:rsid w:val="001D7501"/>
    <w:rsid w:val="001D7F60"/>
    <w:rsid w:val="001E04C2"/>
    <w:rsid w:val="001E0B60"/>
    <w:rsid w:val="001E27AD"/>
    <w:rsid w:val="001E319F"/>
    <w:rsid w:val="001E6205"/>
    <w:rsid w:val="001E727F"/>
    <w:rsid w:val="001F3A63"/>
    <w:rsid w:val="001F43E6"/>
    <w:rsid w:val="001F4E54"/>
    <w:rsid w:val="001F6597"/>
    <w:rsid w:val="001F6F13"/>
    <w:rsid w:val="00204ACE"/>
    <w:rsid w:val="00204D58"/>
    <w:rsid w:val="00205326"/>
    <w:rsid w:val="002101D3"/>
    <w:rsid w:val="0021093F"/>
    <w:rsid w:val="00212181"/>
    <w:rsid w:val="00214E63"/>
    <w:rsid w:val="00223D54"/>
    <w:rsid w:val="002254ED"/>
    <w:rsid w:val="002300E3"/>
    <w:rsid w:val="0023084C"/>
    <w:rsid w:val="00234FD6"/>
    <w:rsid w:val="00240C34"/>
    <w:rsid w:val="00245C13"/>
    <w:rsid w:val="002478AC"/>
    <w:rsid w:val="002515CC"/>
    <w:rsid w:val="00253108"/>
    <w:rsid w:val="00253BA6"/>
    <w:rsid w:val="0025400E"/>
    <w:rsid w:val="00255F27"/>
    <w:rsid w:val="00257059"/>
    <w:rsid w:val="00260702"/>
    <w:rsid w:val="002614BE"/>
    <w:rsid w:val="0026156F"/>
    <w:rsid w:val="00261EB0"/>
    <w:rsid w:val="00266C63"/>
    <w:rsid w:val="00270249"/>
    <w:rsid w:val="002703DD"/>
    <w:rsid w:val="00271DA0"/>
    <w:rsid w:val="002723F8"/>
    <w:rsid w:val="002737AA"/>
    <w:rsid w:val="00273F8C"/>
    <w:rsid w:val="0027455F"/>
    <w:rsid w:val="0028216B"/>
    <w:rsid w:val="00282BB0"/>
    <w:rsid w:val="00283EC2"/>
    <w:rsid w:val="00284274"/>
    <w:rsid w:val="00284AE8"/>
    <w:rsid w:val="00284FC9"/>
    <w:rsid w:val="002871E4"/>
    <w:rsid w:val="00292310"/>
    <w:rsid w:val="00296C6F"/>
    <w:rsid w:val="002A0C8E"/>
    <w:rsid w:val="002A2954"/>
    <w:rsid w:val="002A2AAB"/>
    <w:rsid w:val="002A43B3"/>
    <w:rsid w:val="002A56CA"/>
    <w:rsid w:val="002B00CA"/>
    <w:rsid w:val="002B1150"/>
    <w:rsid w:val="002B1FDD"/>
    <w:rsid w:val="002B3E04"/>
    <w:rsid w:val="002B3F8D"/>
    <w:rsid w:val="002B559C"/>
    <w:rsid w:val="002B7186"/>
    <w:rsid w:val="002C0FBE"/>
    <w:rsid w:val="002C4986"/>
    <w:rsid w:val="002C62AE"/>
    <w:rsid w:val="002C69AD"/>
    <w:rsid w:val="002C6D9B"/>
    <w:rsid w:val="002C7D1A"/>
    <w:rsid w:val="002D1CE7"/>
    <w:rsid w:val="002D61A6"/>
    <w:rsid w:val="002E0CA4"/>
    <w:rsid w:val="002E125B"/>
    <w:rsid w:val="002E1525"/>
    <w:rsid w:val="002E2BAC"/>
    <w:rsid w:val="002E58C3"/>
    <w:rsid w:val="002E611F"/>
    <w:rsid w:val="002E690F"/>
    <w:rsid w:val="002E726E"/>
    <w:rsid w:val="002F11E9"/>
    <w:rsid w:val="002F6C28"/>
    <w:rsid w:val="002F6EA2"/>
    <w:rsid w:val="00301268"/>
    <w:rsid w:val="003063AE"/>
    <w:rsid w:val="00310608"/>
    <w:rsid w:val="00310DFB"/>
    <w:rsid w:val="00316760"/>
    <w:rsid w:val="003168C1"/>
    <w:rsid w:val="00316B86"/>
    <w:rsid w:val="0032068A"/>
    <w:rsid w:val="00321A02"/>
    <w:rsid w:val="003233A0"/>
    <w:rsid w:val="00323F22"/>
    <w:rsid w:val="00327395"/>
    <w:rsid w:val="003277A9"/>
    <w:rsid w:val="003307F5"/>
    <w:rsid w:val="00332882"/>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710F9"/>
    <w:rsid w:val="00372171"/>
    <w:rsid w:val="003724DF"/>
    <w:rsid w:val="003724E8"/>
    <w:rsid w:val="00376EFE"/>
    <w:rsid w:val="003776F0"/>
    <w:rsid w:val="0038048A"/>
    <w:rsid w:val="003846A0"/>
    <w:rsid w:val="003852A8"/>
    <w:rsid w:val="0038535A"/>
    <w:rsid w:val="00386C32"/>
    <w:rsid w:val="00387976"/>
    <w:rsid w:val="00390FF7"/>
    <w:rsid w:val="00391B40"/>
    <w:rsid w:val="00391B4F"/>
    <w:rsid w:val="00393855"/>
    <w:rsid w:val="003A269C"/>
    <w:rsid w:val="003A7A59"/>
    <w:rsid w:val="003B1C3B"/>
    <w:rsid w:val="003B22B6"/>
    <w:rsid w:val="003B2F10"/>
    <w:rsid w:val="003B585F"/>
    <w:rsid w:val="003B5DE4"/>
    <w:rsid w:val="003B5FC2"/>
    <w:rsid w:val="003B765F"/>
    <w:rsid w:val="003C05AE"/>
    <w:rsid w:val="003C15B5"/>
    <w:rsid w:val="003C6C2F"/>
    <w:rsid w:val="003C6F10"/>
    <w:rsid w:val="003D1396"/>
    <w:rsid w:val="003D3D52"/>
    <w:rsid w:val="003D6065"/>
    <w:rsid w:val="003D6960"/>
    <w:rsid w:val="003E182A"/>
    <w:rsid w:val="003E307A"/>
    <w:rsid w:val="003E38F9"/>
    <w:rsid w:val="003E512B"/>
    <w:rsid w:val="003E5E3D"/>
    <w:rsid w:val="003E64DB"/>
    <w:rsid w:val="003E715F"/>
    <w:rsid w:val="003E72B8"/>
    <w:rsid w:val="003E7FD4"/>
    <w:rsid w:val="003F0F62"/>
    <w:rsid w:val="003F179C"/>
    <w:rsid w:val="003F6E36"/>
    <w:rsid w:val="003F7568"/>
    <w:rsid w:val="0040104C"/>
    <w:rsid w:val="004020F4"/>
    <w:rsid w:val="00405F7D"/>
    <w:rsid w:val="004076F5"/>
    <w:rsid w:val="00410D6A"/>
    <w:rsid w:val="0041468D"/>
    <w:rsid w:val="004248BC"/>
    <w:rsid w:val="00424A67"/>
    <w:rsid w:val="00424B57"/>
    <w:rsid w:val="00425593"/>
    <w:rsid w:val="00434C38"/>
    <w:rsid w:val="00434D30"/>
    <w:rsid w:val="0043590B"/>
    <w:rsid w:val="00435C22"/>
    <w:rsid w:val="004378B1"/>
    <w:rsid w:val="00440AF9"/>
    <w:rsid w:val="00441498"/>
    <w:rsid w:val="00441D38"/>
    <w:rsid w:val="004428ED"/>
    <w:rsid w:val="0044310C"/>
    <w:rsid w:val="004441EE"/>
    <w:rsid w:val="00444523"/>
    <w:rsid w:val="00450B15"/>
    <w:rsid w:val="00453EB3"/>
    <w:rsid w:val="00456345"/>
    <w:rsid w:val="00457016"/>
    <w:rsid w:val="004628B3"/>
    <w:rsid w:val="00462FEC"/>
    <w:rsid w:val="00465C30"/>
    <w:rsid w:val="00466A5A"/>
    <w:rsid w:val="00467347"/>
    <w:rsid w:val="004701EE"/>
    <w:rsid w:val="00472510"/>
    <w:rsid w:val="00472FBE"/>
    <w:rsid w:val="00474615"/>
    <w:rsid w:val="00480A8D"/>
    <w:rsid w:val="00480B48"/>
    <w:rsid w:val="0048301C"/>
    <w:rsid w:val="00484924"/>
    <w:rsid w:val="00487DC7"/>
    <w:rsid w:val="0049444E"/>
    <w:rsid w:val="00494FEC"/>
    <w:rsid w:val="00496529"/>
    <w:rsid w:val="00496F5C"/>
    <w:rsid w:val="004A0D06"/>
    <w:rsid w:val="004A1B66"/>
    <w:rsid w:val="004A2A2D"/>
    <w:rsid w:val="004A467E"/>
    <w:rsid w:val="004B0724"/>
    <w:rsid w:val="004B08F9"/>
    <w:rsid w:val="004B691A"/>
    <w:rsid w:val="004B7FCA"/>
    <w:rsid w:val="004C0252"/>
    <w:rsid w:val="004C25EF"/>
    <w:rsid w:val="004C3054"/>
    <w:rsid w:val="004C397B"/>
    <w:rsid w:val="004C479D"/>
    <w:rsid w:val="004C70E5"/>
    <w:rsid w:val="004D2659"/>
    <w:rsid w:val="004D421B"/>
    <w:rsid w:val="004D7E71"/>
    <w:rsid w:val="004D7FF9"/>
    <w:rsid w:val="004E5A26"/>
    <w:rsid w:val="004E5D74"/>
    <w:rsid w:val="004E65C1"/>
    <w:rsid w:val="004E786E"/>
    <w:rsid w:val="004E7E82"/>
    <w:rsid w:val="004F05F1"/>
    <w:rsid w:val="004F0E71"/>
    <w:rsid w:val="004F1DC8"/>
    <w:rsid w:val="004F2D42"/>
    <w:rsid w:val="004F3CCA"/>
    <w:rsid w:val="004F4CFC"/>
    <w:rsid w:val="004F6FFF"/>
    <w:rsid w:val="004F793C"/>
    <w:rsid w:val="00505EF5"/>
    <w:rsid w:val="00506457"/>
    <w:rsid w:val="00507E13"/>
    <w:rsid w:val="00510A1C"/>
    <w:rsid w:val="00513DD1"/>
    <w:rsid w:val="00516660"/>
    <w:rsid w:val="00517C58"/>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67AFA"/>
    <w:rsid w:val="00570EE8"/>
    <w:rsid w:val="0057599D"/>
    <w:rsid w:val="00576A35"/>
    <w:rsid w:val="005777F3"/>
    <w:rsid w:val="0058097A"/>
    <w:rsid w:val="00581A9D"/>
    <w:rsid w:val="00590C5A"/>
    <w:rsid w:val="00593127"/>
    <w:rsid w:val="00596060"/>
    <w:rsid w:val="00596F29"/>
    <w:rsid w:val="005A018D"/>
    <w:rsid w:val="005A1223"/>
    <w:rsid w:val="005A206E"/>
    <w:rsid w:val="005A21E3"/>
    <w:rsid w:val="005A45F4"/>
    <w:rsid w:val="005B73C9"/>
    <w:rsid w:val="005C0076"/>
    <w:rsid w:val="005C1A26"/>
    <w:rsid w:val="005C5C8A"/>
    <w:rsid w:val="005C5F79"/>
    <w:rsid w:val="005D1CD2"/>
    <w:rsid w:val="005D2C44"/>
    <w:rsid w:val="005D3689"/>
    <w:rsid w:val="005D3ACB"/>
    <w:rsid w:val="005D4504"/>
    <w:rsid w:val="005D54D4"/>
    <w:rsid w:val="005D7993"/>
    <w:rsid w:val="005E0496"/>
    <w:rsid w:val="005E1876"/>
    <w:rsid w:val="005E2605"/>
    <w:rsid w:val="005E3515"/>
    <w:rsid w:val="005E42F5"/>
    <w:rsid w:val="005E4FD3"/>
    <w:rsid w:val="005F10FC"/>
    <w:rsid w:val="005F3ADA"/>
    <w:rsid w:val="005F42BE"/>
    <w:rsid w:val="005F4ADC"/>
    <w:rsid w:val="00600AD1"/>
    <w:rsid w:val="00601470"/>
    <w:rsid w:val="00601665"/>
    <w:rsid w:val="00603CE5"/>
    <w:rsid w:val="00603EB6"/>
    <w:rsid w:val="00605FDB"/>
    <w:rsid w:val="00610E38"/>
    <w:rsid w:val="00614250"/>
    <w:rsid w:val="00615DE5"/>
    <w:rsid w:val="00616A4D"/>
    <w:rsid w:val="006200E9"/>
    <w:rsid w:val="00620A97"/>
    <w:rsid w:val="00620E19"/>
    <w:rsid w:val="00622CCB"/>
    <w:rsid w:val="00640D3A"/>
    <w:rsid w:val="00641A3E"/>
    <w:rsid w:val="00641BDA"/>
    <w:rsid w:val="006426D6"/>
    <w:rsid w:val="00644186"/>
    <w:rsid w:val="00644284"/>
    <w:rsid w:val="00644D7F"/>
    <w:rsid w:val="0064642E"/>
    <w:rsid w:val="0065094E"/>
    <w:rsid w:val="00651C03"/>
    <w:rsid w:val="00653C00"/>
    <w:rsid w:val="00654050"/>
    <w:rsid w:val="006545B5"/>
    <w:rsid w:val="00657C3F"/>
    <w:rsid w:val="00657ED6"/>
    <w:rsid w:val="00660442"/>
    <w:rsid w:val="00661B42"/>
    <w:rsid w:val="0066252D"/>
    <w:rsid w:val="00663EAA"/>
    <w:rsid w:val="00664A7A"/>
    <w:rsid w:val="00665013"/>
    <w:rsid w:val="00665DFA"/>
    <w:rsid w:val="006670E1"/>
    <w:rsid w:val="00670AA4"/>
    <w:rsid w:val="0067256A"/>
    <w:rsid w:val="00675C14"/>
    <w:rsid w:val="006769C8"/>
    <w:rsid w:val="00682ACC"/>
    <w:rsid w:val="00682C4B"/>
    <w:rsid w:val="006836A6"/>
    <w:rsid w:val="00684ED3"/>
    <w:rsid w:val="0068529E"/>
    <w:rsid w:val="00690F94"/>
    <w:rsid w:val="0069196B"/>
    <w:rsid w:val="0069220C"/>
    <w:rsid w:val="00692560"/>
    <w:rsid w:val="00693485"/>
    <w:rsid w:val="006949A4"/>
    <w:rsid w:val="00694C7D"/>
    <w:rsid w:val="00696042"/>
    <w:rsid w:val="00696068"/>
    <w:rsid w:val="00696EF5"/>
    <w:rsid w:val="006A124C"/>
    <w:rsid w:val="006A15D7"/>
    <w:rsid w:val="006A1D7A"/>
    <w:rsid w:val="006A21C0"/>
    <w:rsid w:val="006A2AD6"/>
    <w:rsid w:val="006A4C1E"/>
    <w:rsid w:val="006A53C9"/>
    <w:rsid w:val="006A6BE2"/>
    <w:rsid w:val="006A742F"/>
    <w:rsid w:val="006B00D7"/>
    <w:rsid w:val="006B0B7F"/>
    <w:rsid w:val="006B293D"/>
    <w:rsid w:val="006B4991"/>
    <w:rsid w:val="006B4C0C"/>
    <w:rsid w:val="006B5825"/>
    <w:rsid w:val="006B639E"/>
    <w:rsid w:val="006B7612"/>
    <w:rsid w:val="006C0711"/>
    <w:rsid w:val="006C12B0"/>
    <w:rsid w:val="006C262B"/>
    <w:rsid w:val="006C50F1"/>
    <w:rsid w:val="006C6C7F"/>
    <w:rsid w:val="006C6F35"/>
    <w:rsid w:val="006D0CC2"/>
    <w:rsid w:val="006D1849"/>
    <w:rsid w:val="006D2F86"/>
    <w:rsid w:val="006D3A32"/>
    <w:rsid w:val="006D3C53"/>
    <w:rsid w:val="006D51ED"/>
    <w:rsid w:val="006D51F5"/>
    <w:rsid w:val="006D59EA"/>
    <w:rsid w:val="006D7AE0"/>
    <w:rsid w:val="006E3896"/>
    <w:rsid w:val="006E5614"/>
    <w:rsid w:val="006F1881"/>
    <w:rsid w:val="006F24AD"/>
    <w:rsid w:val="006F26F8"/>
    <w:rsid w:val="006F2AE7"/>
    <w:rsid w:val="006F2B5A"/>
    <w:rsid w:val="006F3207"/>
    <w:rsid w:val="006F4176"/>
    <w:rsid w:val="006F56DF"/>
    <w:rsid w:val="006F774C"/>
    <w:rsid w:val="006F78D9"/>
    <w:rsid w:val="006F79FE"/>
    <w:rsid w:val="006F7A69"/>
    <w:rsid w:val="00700DEC"/>
    <w:rsid w:val="0070133A"/>
    <w:rsid w:val="00701361"/>
    <w:rsid w:val="007021C3"/>
    <w:rsid w:val="00704055"/>
    <w:rsid w:val="007044F5"/>
    <w:rsid w:val="00704E7C"/>
    <w:rsid w:val="00706175"/>
    <w:rsid w:val="0070794D"/>
    <w:rsid w:val="007102CD"/>
    <w:rsid w:val="00711214"/>
    <w:rsid w:val="00711EEF"/>
    <w:rsid w:val="007138C3"/>
    <w:rsid w:val="00713FD0"/>
    <w:rsid w:val="0071422A"/>
    <w:rsid w:val="00714DEC"/>
    <w:rsid w:val="0071502A"/>
    <w:rsid w:val="007164F2"/>
    <w:rsid w:val="00716A24"/>
    <w:rsid w:val="007205A3"/>
    <w:rsid w:val="00721BE0"/>
    <w:rsid w:val="0072498C"/>
    <w:rsid w:val="00726D03"/>
    <w:rsid w:val="00727735"/>
    <w:rsid w:val="00731128"/>
    <w:rsid w:val="00732FA2"/>
    <w:rsid w:val="0073403C"/>
    <w:rsid w:val="0073574E"/>
    <w:rsid w:val="0073624F"/>
    <w:rsid w:val="00740A9B"/>
    <w:rsid w:val="00741375"/>
    <w:rsid w:val="0074149D"/>
    <w:rsid w:val="007419B7"/>
    <w:rsid w:val="00743D4C"/>
    <w:rsid w:val="00746E7B"/>
    <w:rsid w:val="00751606"/>
    <w:rsid w:val="00755F2C"/>
    <w:rsid w:val="007561CE"/>
    <w:rsid w:val="00760BC1"/>
    <w:rsid w:val="0076120E"/>
    <w:rsid w:val="007622D3"/>
    <w:rsid w:val="007635B0"/>
    <w:rsid w:val="00763E54"/>
    <w:rsid w:val="00763F19"/>
    <w:rsid w:val="00766207"/>
    <w:rsid w:val="00767369"/>
    <w:rsid w:val="00767E7D"/>
    <w:rsid w:val="00770747"/>
    <w:rsid w:val="007721C7"/>
    <w:rsid w:val="00774825"/>
    <w:rsid w:val="00782E76"/>
    <w:rsid w:val="0078345D"/>
    <w:rsid w:val="00783AA1"/>
    <w:rsid w:val="007875DF"/>
    <w:rsid w:val="00790721"/>
    <w:rsid w:val="00792630"/>
    <w:rsid w:val="007934F8"/>
    <w:rsid w:val="0079462B"/>
    <w:rsid w:val="007950CE"/>
    <w:rsid w:val="00796102"/>
    <w:rsid w:val="007A0227"/>
    <w:rsid w:val="007A300E"/>
    <w:rsid w:val="007A7546"/>
    <w:rsid w:val="007B0B51"/>
    <w:rsid w:val="007B48AA"/>
    <w:rsid w:val="007B4B87"/>
    <w:rsid w:val="007B506F"/>
    <w:rsid w:val="007B6685"/>
    <w:rsid w:val="007B7AAE"/>
    <w:rsid w:val="007B7F90"/>
    <w:rsid w:val="007C0889"/>
    <w:rsid w:val="007C0EF2"/>
    <w:rsid w:val="007C2EEE"/>
    <w:rsid w:val="007C68B9"/>
    <w:rsid w:val="007C6C48"/>
    <w:rsid w:val="007C77BC"/>
    <w:rsid w:val="007D1479"/>
    <w:rsid w:val="007D1D42"/>
    <w:rsid w:val="007D4F69"/>
    <w:rsid w:val="007D6EC6"/>
    <w:rsid w:val="007E16F9"/>
    <w:rsid w:val="007E345D"/>
    <w:rsid w:val="007E3FC0"/>
    <w:rsid w:val="007E4C94"/>
    <w:rsid w:val="007E57E1"/>
    <w:rsid w:val="007E593D"/>
    <w:rsid w:val="007F1F13"/>
    <w:rsid w:val="007F2D6B"/>
    <w:rsid w:val="007F30C4"/>
    <w:rsid w:val="0080263D"/>
    <w:rsid w:val="00802FCB"/>
    <w:rsid w:val="0080414D"/>
    <w:rsid w:val="0080559E"/>
    <w:rsid w:val="00805C65"/>
    <w:rsid w:val="00810228"/>
    <w:rsid w:val="0081125C"/>
    <w:rsid w:val="00811CC1"/>
    <w:rsid w:val="0081362C"/>
    <w:rsid w:val="00813AD6"/>
    <w:rsid w:val="00813B5F"/>
    <w:rsid w:val="008153FE"/>
    <w:rsid w:val="008178DF"/>
    <w:rsid w:val="00817A82"/>
    <w:rsid w:val="00821428"/>
    <w:rsid w:val="00822947"/>
    <w:rsid w:val="00824910"/>
    <w:rsid w:val="00824DDA"/>
    <w:rsid w:val="00827A59"/>
    <w:rsid w:val="008302B0"/>
    <w:rsid w:val="008312ED"/>
    <w:rsid w:val="008336F5"/>
    <w:rsid w:val="00842B17"/>
    <w:rsid w:val="0084302A"/>
    <w:rsid w:val="0084391B"/>
    <w:rsid w:val="00843A3A"/>
    <w:rsid w:val="00851D93"/>
    <w:rsid w:val="008527A7"/>
    <w:rsid w:val="00853516"/>
    <w:rsid w:val="008543B9"/>
    <w:rsid w:val="00854444"/>
    <w:rsid w:val="00854A7A"/>
    <w:rsid w:val="008606D0"/>
    <w:rsid w:val="0086287C"/>
    <w:rsid w:val="00866DE3"/>
    <w:rsid w:val="0087203D"/>
    <w:rsid w:val="00873DFC"/>
    <w:rsid w:val="00874541"/>
    <w:rsid w:val="008752F4"/>
    <w:rsid w:val="00875530"/>
    <w:rsid w:val="00877625"/>
    <w:rsid w:val="008814A5"/>
    <w:rsid w:val="00882DEB"/>
    <w:rsid w:val="008832C0"/>
    <w:rsid w:val="008847A5"/>
    <w:rsid w:val="008903EC"/>
    <w:rsid w:val="00893806"/>
    <w:rsid w:val="0089494A"/>
    <w:rsid w:val="008966B4"/>
    <w:rsid w:val="008A0DB8"/>
    <w:rsid w:val="008A308F"/>
    <w:rsid w:val="008A3E5C"/>
    <w:rsid w:val="008A60F7"/>
    <w:rsid w:val="008A6588"/>
    <w:rsid w:val="008B10BB"/>
    <w:rsid w:val="008B2EEF"/>
    <w:rsid w:val="008B311B"/>
    <w:rsid w:val="008B3369"/>
    <w:rsid w:val="008B385A"/>
    <w:rsid w:val="008B4ABE"/>
    <w:rsid w:val="008C0B6C"/>
    <w:rsid w:val="008C3D60"/>
    <w:rsid w:val="008C3F2A"/>
    <w:rsid w:val="008C4FE2"/>
    <w:rsid w:val="008C7DB3"/>
    <w:rsid w:val="008D0B2C"/>
    <w:rsid w:val="008D2110"/>
    <w:rsid w:val="008E0581"/>
    <w:rsid w:val="008E08FD"/>
    <w:rsid w:val="008E1080"/>
    <w:rsid w:val="008E2E49"/>
    <w:rsid w:val="008E3CC7"/>
    <w:rsid w:val="008E3D93"/>
    <w:rsid w:val="008E3FD9"/>
    <w:rsid w:val="008E6C2F"/>
    <w:rsid w:val="008E7037"/>
    <w:rsid w:val="008F1ACD"/>
    <w:rsid w:val="008F3998"/>
    <w:rsid w:val="008F49C7"/>
    <w:rsid w:val="008F5906"/>
    <w:rsid w:val="008F689D"/>
    <w:rsid w:val="008F6C8C"/>
    <w:rsid w:val="00900F08"/>
    <w:rsid w:val="00902972"/>
    <w:rsid w:val="00906614"/>
    <w:rsid w:val="009069A7"/>
    <w:rsid w:val="00911912"/>
    <w:rsid w:val="00911B80"/>
    <w:rsid w:val="00912E9C"/>
    <w:rsid w:val="00917770"/>
    <w:rsid w:val="00921F52"/>
    <w:rsid w:val="00922A91"/>
    <w:rsid w:val="00923477"/>
    <w:rsid w:val="0092568F"/>
    <w:rsid w:val="00932812"/>
    <w:rsid w:val="0093479B"/>
    <w:rsid w:val="00935461"/>
    <w:rsid w:val="00935466"/>
    <w:rsid w:val="00943611"/>
    <w:rsid w:val="00944C28"/>
    <w:rsid w:val="00945296"/>
    <w:rsid w:val="009459E3"/>
    <w:rsid w:val="0094723B"/>
    <w:rsid w:val="0095005A"/>
    <w:rsid w:val="0095016F"/>
    <w:rsid w:val="00950AB5"/>
    <w:rsid w:val="00953E65"/>
    <w:rsid w:val="00954542"/>
    <w:rsid w:val="0095508E"/>
    <w:rsid w:val="0095610E"/>
    <w:rsid w:val="00957261"/>
    <w:rsid w:val="00957690"/>
    <w:rsid w:val="00957E7C"/>
    <w:rsid w:val="00964620"/>
    <w:rsid w:val="009720C4"/>
    <w:rsid w:val="0097519D"/>
    <w:rsid w:val="00975B78"/>
    <w:rsid w:val="0098028E"/>
    <w:rsid w:val="0098091C"/>
    <w:rsid w:val="0098267A"/>
    <w:rsid w:val="00983F2A"/>
    <w:rsid w:val="00986FAF"/>
    <w:rsid w:val="0098780F"/>
    <w:rsid w:val="00991311"/>
    <w:rsid w:val="00991CD3"/>
    <w:rsid w:val="00994C98"/>
    <w:rsid w:val="009957C5"/>
    <w:rsid w:val="00995DDC"/>
    <w:rsid w:val="00996872"/>
    <w:rsid w:val="00997623"/>
    <w:rsid w:val="00997936"/>
    <w:rsid w:val="009A0CB6"/>
    <w:rsid w:val="009A1812"/>
    <w:rsid w:val="009A265B"/>
    <w:rsid w:val="009B365D"/>
    <w:rsid w:val="009B3903"/>
    <w:rsid w:val="009B452F"/>
    <w:rsid w:val="009B54CA"/>
    <w:rsid w:val="009B62DC"/>
    <w:rsid w:val="009B7E8D"/>
    <w:rsid w:val="009C0631"/>
    <w:rsid w:val="009C08D7"/>
    <w:rsid w:val="009C0F7A"/>
    <w:rsid w:val="009C1114"/>
    <w:rsid w:val="009C167C"/>
    <w:rsid w:val="009C3D90"/>
    <w:rsid w:val="009C4F65"/>
    <w:rsid w:val="009C5653"/>
    <w:rsid w:val="009D0E91"/>
    <w:rsid w:val="009D1A33"/>
    <w:rsid w:val="009D1EC0"/>
    <w:rsid w:val="009D2AD9"/>
    <w:rsid w:val="009D4609"/>
    <w:rsid w:val="009E2391"/>
    <w:rsid w:val="009E2C19"/>
    <w:rsid w:val="009E3B5E"/>
    <w:rsid w:val="009E4A0B"/>
    <w:rsid w:val="009E4C83"/>
    <w:rsid w:val="009E7D41"/>
    <w:rsid w:val="009F080D"/>
    <w:rsid w:val="009F19F9"/>
    <w:rsid w:val="009F3913"/>
    <w:rsid w:val="009F3B3D"/>
    <w:rsid w:val="009F5534"/>
    <w:rsid w:val="009F5B5E"/>
    <w:rsid w:val="009F5DD2"/>
    <w:rsid w:val="009F5E84"/>
    <w:rsid w:val="009F617A"/>
    <w:rsid w:val="009F6CD7"/>
    <w:rsid w:val="00A02312"/>
    <w:rsid w:val="00A02CC0"/>
    <w:rsid w:val="00A0747F"/>
    <w:rsid w:val="00A10A7B"/>
    <w:rsid w:val="00A118BB"/>
    <w:rsid w:val="00A1626F"/>
    <w:rsid w:val="00A1673D"/>
    <w:rsid w:val="00A23000"/>
    <w:rsid w:val="00A2356A"/>
    <w:rsid w:val="00A25962"/>
    <w:rsid w:val="00A26B8E"/>
    <w:rsid w:val="00A270A9"/>
    <w:rsid w:val="00A32577"/>
    <w:rsid w:val="00A331D9"/>
    <w:rsid w:val="00A33BE7"/>
    <w:rsid w:val="00A35848"/>
    <w:rsid w:val="00A358E2"/>
    <w:rsid w:val="00A36BF1"/>
    <w:rsid w:val="00A40A50"/>
    <w:rsid w:val="00A42AD7"/>
    <w:rsid w:val="00A44010"/>
    <w:rsid w:val="00A476B8"/>
    <w:rsid w:val="00A52832"/>
    <w:rsid w:val="00A52CFB"/>
    <w:rsid w:val="00A540FD"/>
    <w:rsid w:val="00A54360"/>
    <w:rsid w:val="00A54FA0"/>
    <w:rsid w:val="00A575DB"/>
    <w:rsid w:val="00A6285B"/>
    <w:rsid w:val="00A639B1"/>
    <w:rsid w:val="00A644D5"/>
    <w:rsid w:val="00A64B94"/>
    <w:rsid w:val="00A65174"/>
    <w:rsid w:val="00A6533F"/>
    <w:rsid w:val="00A65EBE"/>
    <w:rsid w:val="00A6724C"/>
    <w:rsid w:val="00A70AE6"/>
    <w:rsid w:val="00A71C04"/>
    <w:rsid w:val="00A76430"/>
    <w:rsid w:val="00A85F3C"/>
    <w:rsid w:val="00A87D2A"/>
    <w:rsid w:val="00A9084E"/>
    <w:rsid w:val="00A912E3"/>
    <w:rsid w:val="00A92D83"/>
    <w:rsid w:val="00A93FAA"/>
    <w:rsid w:val="00A96B21"/>
    <w:rsid w:val="00AA3095"/>
    <w:rsid w:val="00AA30D5"/>
    <w:rsid w:val="00AA62A0"/>
    <w:rsid w:val="00AA6A21"/>
    <w:rsid w:val="00AB357B"/>
    <w:rsid w:val="00AB49B2"/>
    <w:rsid w:val="00AB4A42"/>
    <w:rsid w:val="00AB797F"/>
    <w:rsid w:val="00AC0F34"/>
    <w:rsid w:val="00AC18CD"/>
    <w:rsid w:val="00AC4541"/>
    <w:rsid w:val="00AD0BAC"/>
    <w:rsid w:val="00AD3A55"/>
    <w:rsid w:val="00AD5F9B"/>
    <w:rsid w:val="00AE023E"/>
    <w:rsid w:val="00AE1A95"/>
    <w:rsid w:val="00AE30A6"/>
    <w:rsid w:val="00AE5BC3"/>
    <w:rsid w:val="00AE634B"/>
    <w:rsid w:val="00AF0428"/>
    <w:rsid w:val="00AF1893"/>
    <w:rsid w:val="00AF2899"/>
    <w:rsid w:val="00AF2B46"/>
    <w:rsid w:val="00AF4A6C"/>
    <w:rsid w:val="00AF4C8E"/>
    <w:rsid w:val="00B001EB"/>
    <w:rsid w:val="00B039A9"/>
    <w:rsid w:val="00B065FF"/>
    <w:rsid w:val="00B1016A"/>
    <w:rsid w:val="00B21AE8"/>
    <w:rsid w:val="00B21E96"/>
    <w:rsid w:val="00B22932"/>
    <w:rsid w:val="00B24AEF"/>
    <w:rsid w:val="00B25672"/>
    <w:rsid w:val="00B3093F"/>
    <w:rsid w:val="00B311CB"/>
    <w:rsid w:val="00B3140D"/>
    <w:rsid w:val="00B31E6C"/>
    <w:rsid w:val="00B33080"/>
    <w:rsid w:val="00B3358F"/>
    <w:rsid w:val="00B33CA4"/>
    <w:rsid w:val="00B35BCF"/>
    <w:rsid w:val="00B36EA9"/>
    <w:rsid w:val="00B41651"/>
    <w:rsid w:val="00B4431E"/>
    <w:rsid w:val="00B46D79"/>
    <w:rsid w:val="00B470A8"/>
    <w:rsid w:val="00B47233"/>
    <w:rsid w:val="00B50296"/>
    <w:rsid w:val="00B51369"/>
    <w:rsid w:val="00B52046"/>
    <w:rsid w:val="00B54FBE"/>
    <w:rsid w:val="00B576ED"/>
    <w:rsid w:val="00B57801"/>
    <w:rsid w:val="00B60599"/>
    <w:rsid w:val="00B61ED3"/>
    <w:rsid w:val="00B6232B"/>
    <w:rsid w:val="00B66280"/>
    <w:rsid w:val="00B6642D"/>
    <w:rsid w:val="00B67BBA"/>
    <w:rsid w:val="00B70924"/>
    <w:rsid w:val="00B724BA"/>
    <w:rsid w:val="00B72E3A"/>
    <w:rsid w:val="00B7699A"/>
    <w:rsid w:val="00B76F03"/>
    <w:rsid w:val="00B77A6A"/>
    <w:rsid w:val="00B80527"/>
    <w:rsid w:val="00B81E17"/>
    <w:rsid w:val="00B8361C"/>
    <w:rsid w:val="00B86725"/>
    <w:rsid w:val="00B90511"/>
    <w:rsid w:val="00B91EDE"/>
    <w:rsid w:val="00B93A5E"/>
    <w:rsid w:val="00B94890"/>
    <w:rsid w:val="00B94BA0"/>
    <w:rsid w:val="00BA06BE"/>
    <w:rsid w:val="00BA1F13"/>
    <w:rsid w:val="00BA5519"/>
    <w:rsid w:val="00BA76E3"/>
    <w:rsid w:val="00BB25AD"/>
    <w:rsid w:val="00BB5092"/>
    <w:rsid w:val="00BB5569"/>
    <w:rsid w:val="00BC205D"/>
    <w:rsid w:val="00BC4044"/>
    <w:rsid w:val="00BC79B0"/>
    <w:rsid w:val="00BD1F2D"/>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2F75"/>
    <w:rsid w:val="00C2354A"/>
    <w:rsid w:val="00C23D41"/>
    <w:rsid w:val="00C24946"/>
    <w:rsid w:val="00C27CBE"/>
    <w:rsid w:val="00C332BC"/>
    <w:rsid w:val="00C33DF4"/>
    <w:rsid w:val="00C35DC7"/>
    <w:rsid w:val="00C402F0"/>
    <w:rsid w:val="00C424BB"/>
    <w:rsid w:val="00C42EC3"/>
    <w:rsid w:val="00C4300F"/>
    <w:rsid w:val="00C43E40"/>
    <w:rsid w:val="00C4462B"/>
    <w:rsid w:val="00C44775"/>
    <w:rsid w:val="00C44D39"/>
    <w:rsid w:val="00C44DF7"/>
    <w:rsid w:val="00C457CA"/>
    <w:rsid w:val="00C51674"/>
    <w:rsid w:val="00C5185A"/>
    <w:rsid w:val="00C53B46"/>
    <w:rsid w:val="00C56768"/>
    <w:rsid w:val="00C57F03"/>
    <w:rsid w:val="00C60A2F"/>
    <w:rsid w:val="00C61E65"/>
    <w:rsid w:val="00C62BC2"/>
    <w:rsid w:val="00C65577"/>
    <w:rsid w:val="00C65DC0"/>
    <w:rsid w:val="00C70F1F"/>
    <w:rsid w:val="00C7418E"/>
    <w:rsid w:val="00C8475E"/>
    <w:rsid w:val="00C931B2"/>
    <w:rsid w:val="00C931E4"/>
    <w:rsid w:val="00C94C56"/>
    <w:rsid w:val="00CA026D"/>
    <w:rsid w:val="00CA04F8"/>
    <w:rsid w:val="00CA08F7"/>
    <w:rsid w:val="00CA3273"/>
    <w:rsid w:val="00CA4714"/>
    <w:rsid w:val="00CA52C7"/>
    <w:rsid w:val="00CA5E99"/>
    <w:rsid w:val="00CA62A0"/>
    <w:rsid w:val="00CA76B0"/>
    <w:rsid w:val="00CB1759"/>
    <w:rsid w:val="00CB2187"/>
    <w:rsid w:val="00CB5152"/>
    <w:rsid w:val="00CC0193"/>
    <w:rsid w:val="00CC20BE"/>
    <w:rsid w:val="00CC34C1"/>
    <w:rsid w:val="00CC4D37"/>
    <w:rsid w:val="00CC50B8"/>
    <w:rsid w:val="00CC585B"/>
    <w:rsid w:val="00CC6320"/>
    <w:rsid w:val="00CC71D6"/>
    <w:rsid w:val="00CD10AF"/>
    <w:rsid w:val="00CD16B3"/>
    <w:rsid w:val="00CD18C6"/>
    <w:rsid w:val="00CD31B0"/>
    <w:rsid w:val="00CD4A98"/>
    <w:rsid w:val="00CD66B6"/>
    <w:rsid w:val="00CD6A07"/>
    <w:rsid w:val="00CD770D"/>
    <w:rsid w:val="00CD7A90"/>
    <w:rsid w:val="00CE0220"/>
    <w:rsid w:val="00CE0727"/>
    <w:rsid w:val="00CE76FD"/>
    <w:rsid w:val="00CF2810"/>
    <w:rsid w:val="00CF2D28"/>
    <w:rsid w:val="00CF3550"/>
    <w:rsid w:val="00CF3E13"/>
    <w:rsid w:val="00CF70AB"/>
    <w:rsid w:val="00D05024"/>
    <w:rsid w:val="00D11591"/>
    <w:rsid w:val="00D142CA"/>
    <w:rsid w:val="00D14CA8"/>
    <w:rsid w:val="00D15F1F"/>
    <w:rsid w:val="00D160B5"/>
    <w:rsid w:val="00D1670F"/>
    <w:rsid w:val="00D20BD0"/>
    <w:rsid w:val="00D2281A"/>
    <w:rsid w:val="00D2651C"/>
    <w:rsid w:val="00D300AF"/>
    <w:rsid w:val="00D3059B"/>
    <w:rsid w:val="00D31ED8"/>
    <w:rsid w:val="00D322A4"/>
    <w:rsid w:val="00D34DFB"/>
    <w:rsid w:val="00D37DA7"/>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2D4F"/>
    <w:rsid w:val="00D63B94"/>
    <w:rsid w:val="00D65151"/>
    <w:rsid w:val="00D6640A"/>
    <w:rsid w:val="00D667B0"/>
    <w:rsid w:val="00D70CF0"/>
    <w:rsid w:val="00D71230"/>
    <w:rsid w:val="00D71FFB"/>
    <w:rsid w:val="00D73C28"/>
    <w:rsid w:val="00D74474"/>
    <w:rsid w:val="00D74DB3"/>
    <w:rsid w:val="00D77F17"/>
    <w:rsid w:val="00D77F9C"/>
    <w:rsid w:val="00D81441"/>
    <w:rsid w:val="00D83F0B"/>
    <w:rsid w:val="00D84529"/>
    <w:rsid w:val="00D85690"/>
    <w:rsid w:val="00D878E0"/>
    <w:rsid w:val="00D910D1"/>
    <w:rsid w:val="00D91887"/>
    <w:rsid w:val="00D92BFD"/>
    <w:rsid w:val="00D931D8"/>
    <w:rsid w:val="00D94801"/>
    <w:rsid w:val="00D95D34"/>
    <w:rsid w:val="00DA0748"/>
    <w:rsid w:val="00DA1ABD"/>
    <w:rsid w:val="00DA2A94"/>
    <w:rsid w:val="00DA39AF"/>
    <w:rsid w:val="00DA4B44"/>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990"/>
    <w:rsid w:val="00DD7BDE"/>
    <w:rsid w:val="00DE3671"/>
    <w:rsid w:val="00DE4B36"/>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29B9"/>
    <w:rsid w:val="00E25980"/>
    <w:rsid w:val="00E30AF9"/>
    <w:rsid w:val="00E312D9"/>
    <w:rsid w:val="00E36280"/>
    <w:rsid w:val="00E37C60"/>
    <w:rsid w:val="00E459F2"/>
    <w:rsid w:val="00E46067"/>
    <w:rsid w:val="00E50265"/>
    <w:rsid w:val="00E5428A"/>
    <w:rsid w:val="00E57084"/>
    <w:rsid w:val="00E60E17"/>
    <w:rsid w:val="00E61213"/>
    <w:rsid w:val="00E613A1"/>
    <w:rsid w:val="00E62F08"/>
    <w:rsid w:val="00E6697B"/>
    <w:rsid w:val="00E67215"/>
    <w:rsid w:val="00E71731"/>
    <w:rsid w:val="00E737A7"/>
    <w:rsid w:val="00E77B5F"/>
    <w:rsid w:val="00E81266"/>
    <w:rsid w:val="00E81E16"/>
    <w:rsid w:val="00E83443"/>
    <w:rsid w:val="00E86525"/>
    <w:rsid w:val="00E87B1F"/>
    <w:rsid w:val="00E922A7"/>
    <w:rsid w:val="00E9433D"/>
    <w:rsid w:val="00E943FE"/>
    <w:rsid w:val="00EA16DD"/>
    <w:rsid w:val="00EA199D"/>
    <w:rsid w:val="00EA2683"/>
    <w:rsid w:val="00EA419B"/>
    <w:rsid w:val="00EA5AE6"/>
    <w:rsid w:val="00EA5F1F"/>
    <w:rsid w:val="00EA5FCE"/>
    <w:rsid w:val="00EA6437"/>
    <w:rsid w:val="00EA77FB"/>
    <w:rsid w:val="00EB0BAF"/>
    <w:rsid w:val="00EB0E55"/>
    <w:rsid w:val="00EB16C5"/>
    <w:rsid w:val="00EB1C56"/>
    <w:rsid w:val="00EB3BA7"/>
    <w:rsid w:val="00EB5952"/>
    <w:rsid w:val="00EB7BAF"/>
    <w:rsid w:val="00EC480F"/>
    <w:rsid w:val="00EC4E06"/>
    <w:rsid w:val="00EC6B77"/>
    <w:rsid w:val="00EC75C6"/>
    <w:rsid w:val="00ED1732"/>
    <w:rsid w:val="00ED3849"/>
    <w:rsid w:val="00ED3A69"/>
    <w:rsid w:val="00ED3FAC"/>
    <w:rsid w:val="00ED46DA"/>
    <w:rsid w:val="00ED4C7A"/>
    <w:rsid w:val="00ED7F68"/>
    <w:rsid w:val="00EE0420"/>
    <w:rsid w:val="00EE21C9"/>
    <w:rsid w:val="00EE34F7"/>
    <w:rsid w:val="00EE5B30"/>
    <w:rsid w:val="00EE7E30"/>
    <w:rsid w:val="00EF4787"/>
    <w:rsid w:val="00EF53EB"/>
    <w:rsid w:val="00F01B23"/>
    <w:rsid w:val="00F03B30"/>
    <w:rsid w:val="00F045BE"/>
    <w:rsid w:val="00F0487B"/>
    <w:rsid w:val="00F04FB6"/>
    <w:rsid w:val="00F0526F"/>
    <w:rsid w:val="00F057C8"/>
    <w:rsid w:val="00F109AD"/>
    <w:rsid w:val="00F1786D"/>
    <w:rsid w:val="00F22919"/>
    <w:rsid w:val="00F2507D"/>
    <w:rsid w:val="00F252DB"/>
    <w:rsid w:val="00F2541A"/>
    <w:rsid w:val="00F258FB"/>
    <w:rsid w:val="00F31689"/>
    <w:rsid w:val="00F36AF2"/>
    <w:rsid w:val="00F3755D"/>
    <w:rsid w:val="00F37FBE"/>
    <w:rsid w:val="00F42981"/>
    <w:rsid w:val="00F43005"/>
    <w:rsid w:val="00F474C2"/>
    <w:rsid w:val="00F514E8"/>
    <w:rsid w:val="00F529F3"/>
    <w:rsid w:val="00F52E5C"/>
    <w:rsid w:val="00F532E5"/>
    <w:rsid w:val="00F53F9B"/>
    <w:rsid w:val="00F563FC"/>
    <w:rsid w:val="00F5768F"/>
    <w:rsid w:val="00F606D2"/>
    <w:rsid w:val="00F619EE"/>
    <w:rsid w:val="00F65EC3"/>
    <w:rsid w:val="00F67AF9"/>
    <w:rsid w:val="00F7093F"/>
    <w:rsid w:val="00F7233B"/>
    <w:rsid w:val="00F75F90"/>
    <w:rsid w:val="00F814B2"/>
    <w:rsid w:val="00F81BDF"/>
    <w:rsid w:val="00F82020"/>
    <w:rsid w:val="00F901AC"/>
    <w:rsid w:val="00F93C45"/>
    <w:rsid w:val="00F95665"/>
    <w:rsid w:val="00FA13C2"/>
    <w:rsid w:val="00FA18C9"/>
    <w:rsid w:val="00FA1A0F"/>
    <w:rsid w:val="00FA38EC"/>
    <w:rsid w:val="00FA4C9F"/>
    <w:rsid w:val="00FA6DD0"/>
    <w:rsid w:val="00FA6E75"/>
    <w:rsid w:val="00FB0158"/>
    <w:rsid w:val="00FB1714"/>
    <w:rsid w:val="00FB46B8"/>
    <w:rsid w:val="00FB5222"/>
    <w:rsid w:val="00FB5A99"/>
    <w:rsid w:val="00FC2A60"/>
    <w:rsid w:val="00FC76E2"/>
    <w:rsid w:val="00FD4FF7"/>
    <w:rsid w:val="00FD6F6A"/>
    <w:rsid w:val="00FE3653"/>
    <w:rsid w:val="00FE3747"/>
    <w:rsid w:val="00FE3AB8"/>
    <w:rsid w:val="00FE47A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96F5C"/>
    <w:pPr>
      <w:tabs>
        <w:tab w:val="left" w:pos="1134"/>
      </w:tabs>
      <w:spacing w:before="120" w:after="12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Textodeglobo">
    <w:name w:val="Balloon Text"/>
    <w:basedOn w:val="Normal"/>
    <w:link w:val="TextodegloboCar"/>
    <w:uiPriority w:val="99"/>
    <w:semiHidden/>
    <w:unhideWhenUsed/>
    <w:rsid w:val="00E717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1731"/>
    <w:rPr>
      <w:rFonts w:ascii="Segoe UI" w:eastAsia="Times New Roman" w:hAnsi="Segoe UI" w:cs="Segoe UI"/>
      <w:kern w:val="0"/>
      <w:sz w:val="18"/>
      <w:szCs w:val="18"/>
      <w:lang w:val="es-ES"/>
      <w14:ligatures w14:val="none"/>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165C77"/>
    <w:pPr>
      <w:ind w:left="720"/>
      <w:contextualSpacing/>
    </w:pPr>
  </w:style>
  <w:style w:type="character" w:styleId="Hipervnculo">
    <w:name w:val="Hyperlink"/>
    <w:basedOn w:val="Fuentedeprrafopredeter"/>
    <w:uiPriority w:val="99"/>
    <w:unhideWhenUsed/>
    <w:rsid w:val="00335DC6"/>
    <w:rPr>
      <w:color w:val="0563C1" w:themeColor="hyperlink"/>
      <w:u w:val="single"/>
    </w:rPr>
  </w:style>
  <w:style w:type="character" w:styleId="Mencinsinresolver">
    <w:name w:val="Unresolved Mention"/>
    <w:basedOn w:val="Fuentedeprrafopredeter"/>
    <w:uiPriority w:val="99"/>
    <w:semiHidden/>
    <w:unhideWhenUsed/>
    <w:rsid w:val="00335DC6"/>
    <w:rPr>
      <w:color w:val="605E5C"/>
      <w:shd w:val="clear" w:color="auto" w:fill="E1DFDD"/>
    </w:rPr>
  </w:style>
  <w:style w:type="character" w:styleId="Hipervnculovisitado">
    <w:name w:val="FollowedHyperlink"/>
    <w:basedOn w:val="Fuentedeprrafopredeter"/>
    <w:uiPriority w:val="99"/>
    <w:semiHidden/>
    <w:unhideWhenUsed/>
    <w:rsid w:val="0044310C"/>
    <w:rPr>
      <w:color w:val="954F72" w:themeColor="followedHyperlink"/>
      <w:u w:val="single"/>
    </w:rPr>
  </w:style>
  <w:style w:type="paragraph" w:customStyle="1" w:styleId="Para10">
    <w:name w:val="Para1"/>
    <w:basedOn w:val="Normal"/>
    <w:link w:val="Para1Char"/>
    <w:qFormat/>
    <w:rsid w:val="00817A82"/>
    <w:pPr>
      <w:spacing w:before="120" w:after="120"/>
    </w:pPr>
    <w:rPr>
      <w:snapToGrid w:val="0"/>
      <w:szCs w:val="18"/>
    </w:rPr>
  </w:style>
  <w:style w:type="character" w:customStyle="1" w:styleId="Para1Char">
    <w:name w:val="Para1 Char"/>
    <w:link w:val="Para10"/>
    <w:qFormat/>
    <w:locked/>
    <w:rsid w:val="00817A82"/>
    <w:rPr>
      <w:rFonts w:ascii="Times New Roman" w:eastAsia="Times New Roman" w:hAnsi="Times New Roman" w:cs="Times New Roman"/>
      <w:snapToGrid w:val="0"/>
      <w:kern w:val="0"/>
      <w:szCs w:val="18"/>
      <w:lang w:val="es-E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qFormat/>
    <w:rsid w:val="00817A82"/>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817A82"/>
    <w:rPr>
      <w:rFonts w:ascii="Times New Roman" w:eastAsia="Times New Roman" w:hAnsi="Times New Roman" w:cs="Times New Roman"/>
      <w:kern w:val="0"/>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5/cop-15-dec-07-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cbd.int/doc/decisions/cop-15/cop-15-dec-15-es.pdf"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cop-15/cop-15-dec-04-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2-es.pdf" TargetMode="External"/><Relationship Id="rId5" Type="http://schemas.openxmlformats.org/officeDocument/2006/relationships/numbering" Target="numbering.xml"/><Relationship Id="rId15" Type="http://schemas.openxmlformats.org/officeDocument/2006/relationships/hyperlink" Target="https://www.cbd.int/doc/decisions/cop-15/cop-15-dec-06-es.pdf" TargetMode="External"/><Relationship Id="rId23" Type="http://schemas.openxmlformats.org/officeDocument/2006/relationships/hyperlink" Target="https://www.cbd.int/doc/decisions/cop-15/cop-15-dec-08-es.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3-es.pdf" TargetMode="External"/><Relationship Id="rId22" Type="http://schemas.openxmlformats.org/officeDocument/2006/relationships/hyperlink" Target="https://www.cbd.int/doc/decisions/cop-15/cop-15-dec-11-es.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25-es.pdf" TargetMode="External"/><Relationship Id="rId2" Type="http://schemas.openxmlformats.org/officeDocument/2006/relationships/hyperlink" Target="https://www.cbd.int/doc/decisions/cop-11/cop-11-dec-13-es.pdf" TargetMode="External"/><Relationship Id="rId1" Type="http://schemas.openxmlformats.org/officeDocument/2006/relationships/hyperlink" Target="https://www.cbd.int/doc/c/9475/e7af/3a2055269a58dbb155d0bd93/sbi-04-01-es.pdf" TargetMode="External"/><Relationship Id="rId5" Type="http://schemas.openxmlformats.org/officeDocument/2006/relationships/hyperlink" Target="https://www.cbd.int/doc/c/19b2/9f75/9d90f3df12864adb9f890428/sbstta-26-inf-15-en.pdf" TargetMode="External"/><Relationship Id="rId4" Type="http://schemas.openxmlformats.org/officeDocument/2006/relationships/hyperlink" Target="https://www.cbd.int/doc/c/da35/d3a4/9999fe4f15d46c47e0503169/sbstta-26-03-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B7CC7C0D-CECB-41F6-8EB8-290B0529D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14</TotalTime>
  <Pages>4</Pages>
  <Words>1542</Words>
  <Characters>8482</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
  <LinksUpToDate>false</LinksUpToDate>
  <CharactersWithSpaces>10004</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CBD/SBI/4/15</dc:subject>
  <dc:creator>veronique.lefebvre</dc:creator>
  <cp:keywords/>
  <dc:description/>
  <cp:lastModifiedBy>Maria Troitino</cp:lastModifiedBy>
  <cp:revision>3</cp:revision>
  <cp:lastPrinted>2024-01-31T20:49:00Z</cp:lastPrinted>
  <dcterms:created xsi:type="dcterms:W3CDTF">2024-04-26T19:12:00Z</dcterms:created>
  <dcterms:modified xsi:type="dcterms:W3CDTF">2024-04-26T19:17:00Z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