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B50559" w:rsidRPr="007A1F82" w14:paraId="245373D0" w14:textId="77777777" w:rsidTr="00191991">
        <w:trPr>
          <w:trHeight w:hRule="exact" w:val="810"/>
        </w:trPr>
        <w:tc>
          <w:tcPr>
            <w:tcW w:w="909" w:type="dxa"/>
            <w:tcBorders>
              <w:top w:val="nil"/>
              <w:bottom w:val="single" w:sz="12" w:space="0" w:color="000000"/>
              <w:right w:val="nil"/>
            </w:tcBorders>
          </w:tcPr>
          <w:p w14:paraId="31740FD2" w14:textId="77777777" w:rsidR="00B50559" w:rsidRPr="007A1F82" w:rsidRDefault="00F078D1" w:rsidP="00191991">
            <w:pPr>
              <w:spacing w:after="120" w:line="480" w:lineRule="auto"/>
              <w:rPr>
                <w:rFonts w:eastAsia="Times New Roman"/>
                <w:snapToGrid w:val="0"/>
                <w:kern w:val="22"/>
                <w:sz w:val="20"/>
                <w:szCs w:val="20"/>
                <w:lang w:val="en-US"/>
              </w:rPr>
            </w:pPr>
            <w:bookmarkStart w:id="0" w:name="_Hlk33348613"/>
            <w:r>
              <w:rPr>
                <w:noProof/>
                <w:lang w:val="en-US"/>
              </w:rPr>
              <w:pict w14:anchorId="21985B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Macintosh HD:Users:bilodeau:Desktop:logos:template 2017:un.emf" style="position:absolute;left:0;text-align:left;margin-left:-.05pt;margin-top:3.7pt;width:35.55pt;height:30.85pt;z-index:251657216;visibility:visible;mso-position-vertical-relative:page" wrapcoords="7353 527 2757 1580 -460 4741 -460 10010 1379 17385 5515 20546 7353 20546 14247 20546 15166 20546 19762 17385 21600 8956 21600 5268 17464 527 13328 527 7353 527">
                  <v:imagedata r:id="rId7" o:title="" cropleft="1f" cropright="1f"/>
                  <w10:wrap type="through" anchory="page"/>
                </v:shape>
              </w:pict>
            </w:r>
          </w:p>
        </w:tc>
        <w:tc>
          <w:tcPr>
            <w:tcW w:w="4320" w:type="dxa"/>
            <w:tcBorders>
              <w:top w:val="nil"/>
              <w:left w:val="nil"/>
              <w:bottom w:val="single" w:sz="12" w:space="0" w:color="000000"/>
              <w:right w:val="nil"/>
            </w:tcBorders>
          </w:tcPr>
          <w:p w14:paraId="4C8FBB50" w14:textId="77777777" w:rsidR="00B50559" w:rsidRPr="0005575F" w:rsidRDefault="00F078D1" w:rsidP="00191991">
            <w:pPr>
              <w:spacing w:before="60"/>
              <w:rPr>
                <w:rFonts w:ascii="SimHei" w:eastAsia="SimHei" w:hAnsi="SimHei"/>
                <w:sz w:val="20"/>
                <w:szCs w:val="20"/>
              </w:rPr>
            </w:pPr>
            <w:r>
              <w:rPr>
                <w:rFonts w:ascii="SimHei" w:eastAsia="SimHei" w:hAnsi="SimHei"/>
                <w:noProof/>
                <w:lang w:val="en-US"/>
              </w:rPr>
              <w:pict w14:anchorId="6CF53DE5">
                <v:shape id="_x0000_s1027" type="#_x0000_t75" style="position:absolute;left:0;text-align:left;margin-left:32.05pt;margin-top:1.75pt;width:14.25pt;height:15.1pt;z-index:251658240;visibility:visible;mso-position-horizontal-relative:text;mso-position-vertical-relative:text">
                  <v:imagedata r:id="rId8" o:title=""/>
                </v:shape>
              </w:pict>
            </w:r>
            <w:r w:rsidR="00B50559" w:rsidRPr="0005575F">
              <w:rPr>
                <w:rFonts w:ascii="SimHei" w:eastAsia="SimHei" w:hAnsi="SimHei" w:cs="SimSun" w:hint="eastAsia"/>
                <w:sz w:val="20"/>
                <w:szCs w:val="20"/>
              </w:rPr>
              <w:t>联合国</w:t>
            </w:r>
          </w:p>
          <w:p w14:paraId="4111C59A" w14:textId="77777777" w:rsidR="00B50559" w:rsidRPr="009B1582" w:rsidRDefault="00B50559" w:rsidP="00191991">
            <w:pPr>
              <w:rPr>
                <w:rFonts w:eastAsia="Times New Roman"/>
                <w:sz w:val="20"/>
                <w:szCs w:val="20"/>
              </w:rPr>
            </w:pPr>
            <w:r w:rsidRPr="0005575F">
              <w:rPr>
                <w:rFonts w:ascii="SimHei" w:eastAsia="SimHei" w:hAnsi="SimHei" w:cs="SimSun" w:hint="eastAsia"/>
                <w:sz w:val="20"/>
                <w:szCs w:val="20"/>
              </w:rPr>
              <w:t>环境规划署</w:t>
            </w:r>
          </w:p>
          <w:p w14:paraId="61D6811B" w14:textId="77777777" w:rsidR="00B50559" w:rsidRPr="007A1F82" w:rsidRDefault="00B50559" w:rsidP="00191991">
            <w:pPr>
              <w:rPr>
                <w:rFonts w:eastAsia="Times New Roman"/>
              </w:rPr>
            </w:pPr>
          </w:p>
        </w:tc>
        <w:tc>
          <w:tcPr>
            <w:tcW w:w="5130" w:type="dxa"/>
            <w:tcBorders>
              <w:top w:val="nil"/>
              <w:left w:val="nil"/>
              <w:bottom w:val="single" w:sz="12" w:space="0" w:color="000000"/>
            </w:tcBorders>
          </w:tcPr>
          <w:p w14:paraId="7D23D2AE" w14:textId="77777777" w:rsidR="00B50559" w:rsidRPr="009B1582" w:rsidRDefault="00B50559" w:rsidP="00191991">
            <w:pPr>
              <w:tabs>
                <w:tab w:val="right" w:pos="7611"/>
              </w:tabs>
              <w:spacing w:before="240"/>
              <w:ind w:left="360" w:right="216"/>
              <w:jc w:val="right"/>
              <w:rPr>
                <w:rFonts w:eastAsia="Times New Roman"/>
                <w:bCs/>
                <w:snapToGrid w:val="0"/>
                <w:kern w:val="22"/>
                <w:sz w:val="40"/>
                <w:szCs w:val="40"/>
              </w:rPr>
            </w:pPr>
            <w:r w:rsidRPr="009B1582">
              <w:rPr>
                <w:rFonts w:eastAsia="Times New Roman"/>
                <w:bCs/>
                <w:snapToGrid w:val="0"/>
                <w:kern w:val="22"/>
                <w:sz w:val="40"/>
                <w:szCs w:val="40"/>
              </w:rPr>
              <w:t>CBD</w:t>
            </w:r>
            <w:r w:rsidRPr="009B1582">
              <w:rPr>
                <w:rFonts w:eastAsia="Times New Roman"/>
                <w:bCs/>
                <w:snapToGrid w:val="0"/>
                <w:kern w:val="22"/>
              </w:rPr>
              <w:t>/</w:t>
            </w:r>
            <w:r>
              <w:rPr>
                <w:rFonts w:eastAsia="Times New Roman"/>
                <w:bCs/>
                <w:snapToGrid w:val="0"/>
                <w:kern w:val="22"/>
              </w:rPr>
              <w:t>SBI</w:t>
            </w:r>
            <w:r w:rsidRPr="009B1582">
              <w:rPr>
                <w:rFonts w:eastAsia="Times New Roman"/>
                <w:bCs/>
                <w:snapToGrid w:val="0"/>
                <w:kern w:val="22"/>
              </w:rPr>
              <w:t>/</w:t>
            </w:r>
            <w:r>
              <w:rPr>
                <w:rFonts w:eastAsia="Times New Roman"/>
                <w:bCs/>
                <w:snapToGrid w:val="0"/>
                <w:kern w:val="22"/>
              </w:rPr>
              <w:t>6/</w:t>
            </w:r>
            <w:r>
              <w:rPr>
                <w:bCs/>
                <w:snapToGrid w:val="0"/>
                <w:kern w:val="22"/>
              </w:rPr>
              <w:t>8</w:t>
            </w:r>
          </w:p>
          <w:p w14:paraId="6256504D" w14:textId="77777777" w:rsidR="00B50559" w:rsidRPr="007A1F82" w:rsidRDefault="00B50559" w:rsidP="00191991">
            <w:pPr>
              <w:rPr>
                <w:rFonts w:eastAsia="Times New Roman"/>
                <w:b/>
                <w:snapToGrid w:val="0"/>
                <w:kern w:val="22"/>
                <w:sz w:val="20"/>
              </w:rPr>
            </w:pPr>
          </w:p>
        </w:tc>
      </w:tr>
      <w:tr w:rsidR="00B50559" w:rsidRPr="007A1F82" w14:paraId="3BCC475C" w14:textId="77777777" w:rsidTr="00191991">
        <w:trPr>
          <w:trHeight w:val="2130"/>
        </w:trPr>
        <w:tc>
          <w:tcPr>
            <w:tcW w:w="5229" w:type="dxa"/>
            <w:gridSpan w:val="2"/>
            <w:tcBorders>
              <w:top w:val="nil"/>
              <w:bottom w:val="single" w:sz="18" w:space="0" w:color="000000"/>
            </w:tcBorders>
          </w:tcPr>
          <w:p w14:paraId="308EC43C" w14:textId="77777777" w:rsidR="00B50559" w:rsidRPr="007A1F82" w:rsidRDefault="00B50559" w:rsidP="00191991">
            <w:pPr>
              <w:rPr>
                <w:rFonts w:eastAsia="Times New Roman"/>
                <w:b/>
                <w:noProof/>
                <w:lang w:val="en-US"/>
              </w:rPr>
            </w:pPr>
          </w:p>
          <w:p w14:paraId="700B0B2F" w14:textId="77777777" w:rsidR="00B50559" w:rsidRPr="007A1F82" w:rsidRDefault="00F078D1" w:rsidP="00191991">
            <w:pPr>
              <w:rPr>
                <w:rFonts w:ascii="Univers" w:eastAsia="Times New Roman" w:hAnsi="Univers"/>
                <w:snapToGrid w:val="0"/>
                <w:kern w:val="22"/>
                <w:sz w:val="32"/>
              </w:rPr>
            </w:pPr>
            <w:r>
              <w:rPr>
                <w:rFonts w:eastAsia="Times New Roman"/>
                <w:b/>
                <w:noProof/>
                <w:lang w:val="en-US"/>
              </w:rPr>
              <w:pict w14:anchorId="17546EDC">
                <v:shape id="Picture 3" o:spid="_x0000_i1025" type="#_x0000_t75" alt="CBD_logo_ch-CMYK-black [Converted]" style="width:226.8pt;height:84.25pt;visibility:visible">
                  <v:imagedata r:id="rId9" o:title=""/>
                </v:shape>
              </w:pict>
            </w:r>
          </w:p>
        </w:tc>
        <w:tc>
          <w:tcPr>
            <w:tcW w:w="5130" w:type="dxa"/>
            <w:tcBorders>
              <w:top w:val="nil"/>
              <w:bottom w:val="single" w:sz="18" w:space="0" w:color="000000"/>
            </w:tcBorders>
          </w:tcPr>
          <w:p w14:paraId="72B8FEA9" w14:textId="77777777" w:rsidR="00B50559" w:rsidRPr="00A148DC" w:rsidRDefault="00B50559" w:rsidP="00191991">
            <w:pPr>
              <w:spacing w:before="120"/>
              <w:ind w:left="2016"/>
              <w:rPr>
                <w:rFonts w:eastAsia="Times New Roman"/>
                <w:bCs/>
                <w:snapToGrid w:val="0"/>
                <w:kern w:val="22"/>
              </w:rPr>
            </w:pPr>
            <w:r w:rsidRPr="00A148DC">
              <w:rPr>
                <w:rFonts w:eastAsia="Times New Roman"/>
                <w:bCs/>
                <w:snapToGrid w:val="0"/>
                <w:kern w:val="22"/>
              </w:rPr>
              <w:t xml:space="preserve">Distr.: </w:t>
            </w:r>
            <w:r>
              <w:rPr>
                <w:rFonts w:eastAsia="Times New Roman"/>
                <w:bCs/>
                <w:snapToGrid w:val="0"/>
                <w:kern w:val="22"/>
              </w:rPr>
              <w:t>General</w:t>
            </w:r>
          </w:p>
          <w:p w14:paraId="3E0E8B83" w14:textId="77777777" w:rsidR="00B50559" w:rsidRDefault="00B50559" w:rsidP="00191991">
            <w:pPr>
              <w:ind w:left="2016"/>
              <w:rPr>
                <w:rFonts w:eastAsia="Times New Roman"/>
                <w:snapToGrid w:val="0"/>
                <w:kern w:val="22"/>
              </w:rPr>
            </w:pPr>
            <w:r>
              <w:rPr>
                <w:kern w:val="22"/>
              </w:rPr>
              <w:t xml:space="preserve">12 </w:t>
            </w:r>
            <w:r>
              <w:rPr>
                <w:kern w:val="22"/>
                <w:lang w:val="en-US"/>
              </w:rPr>
              <w:t>December</w:t>
            </w:r>
            <w:r w:rsidRPr="00A148DC">
              <w:rPr>
                <w:rFonts w:eastAsia="Times New Roman"/>
                <w:kern w:val="22"/>
              </w:rPr>
              <w:t xml:space="preserve"> </w:t>
            </w:r>
            <w:r w:rsidRPr="00A148DC">
              <w:rPr>
                <w:rFonts w:eastAsia="Times New Roman"/>
                <w:snapToGrid w:val="0"/>
                <w:kern w:val="22"/>
              </w:rPr>
              <w:t>202</w:t>
            </w:r>
            <w:r>
              <w:rPr>
                <w:rFonts w:eastAsia="Times New Roman"/>
                <w:snapToGrid w:val="0"/>
                <w:kern w:val="22"/>
              </w:rPr>
              <w:t>5</w:t>
            </w:r>
          </w:p>
          <w:p w14:paraId="4F0AECA4" w14:textId="77777777" w:rsidR="00B50559" w:rsidRPr="00A148DC" w:rsidRDefault="00B50559" w:rsidP="00191991">
            <w:pPr>
              <w:ind w:left="2016"/>
              <w:rPr>
                <w:rFonts w:eastAsia="Times New Roman"/>
                <w:bCs/>
                <w:snapToGrid w:val="0"/>
                <w:kern w:val="22"/>
              </w:rPr>
            </w:pPr>
            <w:r w:rsidRPr="00A148DC">
              <w:rPr>
                <w:rFonts w:eastAsia="Times New Roman"/>
                <w:bCs/>
                <w:snapToGrid w:val="0"/>
                <w:kern w:val="22"/>
              </w:rPr>
              <w:t>C</w:t>
            </w:r>
            <w:r>
              <w:rPr>
                <w:rFonts w:eastAsia="Times New Roman"/>
                <w:bCs/>
                <w:snapToGrid w:val="0"/>
                <w:kern w:val="22"/>
              </w:rPr>
              <w:t>hinese</w:t>
            </w:r>
          </w:p>
          <w:p w14:paraId="7125376D" w14:textId="77777777" w:rsidR="00B50559" w:rsidRPr="007A1F82" w:rsidRDefault="00B50559" w:rsidP="00191991">
            <w:pPr>
              <w:spacing w:after="120"/>
              <w:ind w:left="2016"/>
              <w:rPr>
                <w:rFonts w:eastAsia="Times New Roman"/>
                <w:b/>
                <w:snapToGrid w:val="0"/>
                <w:kern w:val="22"/>
                <w:u w:val="single"/>
              </w:rPr>
            </w:pPr>
            <w:r w:rsidRPr="00A148DC">
              <w:rPr>
                <w:rFonts w:eastAsia="Times New Roman"/>
                <w:bCs/>
                <w:snapToGrid w:val="0"/>
                <w:kern w:val="22"/>
              </w:rPr>
              <w:t>O</w:t>
            </w:r>
            <w:r>
              <w:rPr>
                <w:rFonts w:eastAsia="Times New Roman"/>
                <w:bCs/>
                <w:snapToGrid w:val="0"/>
                <w:kern w:val="22"/>
              </w:rPr>
              <w:t xml:space="preserve">riginal: </w:t>
            </w:r>
            <w:r w:rsidRPr="00A148DC">
              <w:rPr>
                <w:rFonts w:eastAsia="Times New Roman"/>
                <w:bCs/>
                <w:snapToGrid w:val="0"/>
                <w:kern w:val="22"/>
              </w:rPr>
              <w:t>E</w:t>
            </w:r>
            <w:r>
              <w:rPr>
                <w:rFonts w:eastAsia="Times New Roman"/>
                <w:bCs/>
                <w:snapToGrid w:val="0"/>
                <w:kern w:val="22"/>
              </w:rPr>
              <w:t>nglish</w:t>
            </w:r>
          </w:p>
        </w:tc>
      </w:tr>
      <w:bookmarkEnd w:id="0"/>
    </w:tbl>
    <w:p w14:paraId="26DA6A84" w14:textId="77777777" w:rsidR="00B50559" w:rsidRDefault="00B50559">
      <w:pPr>
        <w:pStyle w:val="AISpacer"/>
        <w:rPr>
          <w:szCs w:val="24"/>
        </w:rPr>
      </w:pPr>
    </w:p>
    <w:p w14:paraId="2435187B" w14:textId="77777777" w:rsidR="00B50559" w:rsidRDefault="00B50559">
      <w:pPr>
        <w:pStyle w:val="AISpacer"/>
        <w:rPr>
          <w:szCs w:val="2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B50559" w14:paraId="5A98C2AB" w14:textId="77777777">
        <w:trPr>
          <w:trHeight w:val="57"/>
        </w:trPr>
        <w:tc>
          <w:tcPr>
            <w:tcW w:w="6094" w:type="dxa"/>
          </w:tcPr>
          <w:p w14:paraId="23F8E7F3" w14:textId="77777777" w:rsidR="00B50559" w:rsidRPr="007E2845" w:rsidRDefault="00B50559">
            <w:pPr>
              <w:pStyle w:val="AFCorN12Bold"/>
              <w:rPr>
                <w:szCs w:val="24"/>
              </w:rPr>
            </w:pPr>
            <w:r w:rsidRPr="007E2845">
              <w:rPr>
                <w:rFonts w:hint="eastAsia"/>
                <w:szCs w:val="24"/>
                <w:lang w:val="zh-CN"/>
              </w:rPr>
              <w:t>执行问题附属机构</w:t>
            </w:r>
          </w:p>
          <w:p w14:paraId="1EE710C6" w14:textId="77777777" w:rsidR="00B50559" w:rsidRPr="007E2845" w:rsidRDefault="00B50559">
            <w:pPr>
              <w:pStyle w:val="AFCorNBold"/>
              <w:rPr>
                <w:sz w:val="24"/>
                <w:szCs w:val="24"/>
              </w:rPr>
            </w:pPr>
            <w:r w:rsidRPr="007E2845">
              <w:rPr>
                <w:rFonts w:hint="eastAsia"/>
                <w:sz w:val="24"/>
                <w:szCs w:val="24"/>
                <w:lang w:val="zh-CN"/>
              </w:rPr>
              <w:t>第六次会议</w:t>
            </w:r>
          </w:p>
          <w:p w14:paraId="217B37F3" w14:textId="77777777" w:rsidR="00B50559" w:rsidRPr="007E2845" w:rsidRDefault="00B50559">
            <w:pPr>
              <w:pStyle w:val="AFCorNNormal"/>
              <w:rPr>
                <w:sz w:val="24"/>
                <w:szCs w:val="24"/>
              </w:rPr>
            </w:pPr>
            <w:smartTag w:uri="urn:schemas-microsoft-com:office:smarttags" w:element="chsdate">
              <w:smartTagPr>
                <w:attr w:name="IsROCDate" w:val="False"/>
                <w:attr w:name="IsLunarDate" w:val="False"/>
                <w:attr w:name="Day" w:val="16"/>
                <w:attr w:name="Month" w:val="2"/>
                <w:attr w:name="Year" w:val="2026"/>
              </w:smartTagPr>
              <w:r w:rsidRPr="007E2845">
                <w:rPr>
                  <w:kern w:val="22"/>
                  <w:sz w:val="24"/>
                  <w:szCs w:val="24"/>
                </w:rPr>
                <w:t>2026</w:t>
              </w:r>
              <w:r w:rsidRPr="007E2845">
                <w:rPr>
                  <w:rFonts w:hint="eastAsia"/>
                  <w:kern w:val="22"/>
                  <w:sz w:val="24"/>
                  <w:szCs w:val="24"/>
                  <w:lang w:val="zh-CN"/>
                </w:rPr>
                <w:t>年</w:t>
              </w:r>
              <w:r w:rsidRPr="007E2845">
                <w:rPr>
                  <w:kern w:val="22"/>
                  <w:sz w:val="24"/>
                  <w:szCs w:val="24"/>
                </w:rPr>
                <w:t>2</w:t>
              </w:r>
              <w:r w:rsidRPr="007E2845">
                <w:rPr>
                  <w:rFonts w:hint="eastAsia"/>
                  <w:kern w:val="22"/>
                  <w:sz w:val="24"/>
                  <w:szCs w:val="24"/>
                  <w:lang w:val="zh-CN"/>
                </w:rPr>
                <w:t>月</w:t>
              </w:r>
              <w:r w:rsidRPr="007E2845">
                <w:rPr>
                  <w:kern w:val="22"/>
                  <w:sz w:val="24"/>
                  <w:szCs w:val="24"/>
                </w:rPr>
                <w:t>16</w:t>
              </w:r>
              <w:r w:rsidRPr="007E2845">
                <w:rPr>
                  <w:rFonts w:hint="eastAsia"/>
                  <w:kern w:val="22"/>
                  <w:sz w:val="24"/>
                  <w:szCs w:val="24"/>
                  <w:lang w:val="zh-CN"/>
                </w:rPr>
                <w:t>日</w:t>
              </w:r>
            </w:smartTag>
            <w:r w:rsidRPr="007E2845">
              <w:rPr>
                <w:rFonts w:hint="eastAsia"/>
                <w:kern w:val="22"/>
                <w:sz w:val="24"/>
                <w:szCs w:val="24"/>
                <w:lang w:val="zh-CN"/>
              </w:rPr>
              <w:t>至</w:t>
            </w:r>
            <w:r w:rsidRPr="007E2845">
              <w:rPr>
                <w:kern w:val="22"/>
                <w:sz w:val="24"/>
                <w:szCs w:val="24"/>
              </w:rPr>
              <w:t>19</w:t>
            </w:r>
            <w:r w:rsidRPr="007E2845">
              <w:rPr>
                <w:rFonts w:hint="eastAsia"/>
                <w:kern w:val="22"/>
                <w:sz w:val="24"/>
                <w:szCs w:val="24"/>
                <w:lang w:val="zh-CN"/>
              </w:rPr>
              <w:t>日</w:t>
            </w:r>
            <w:r w:rsidRPr="007E2845">
              <w:rPr>
                <w:rFonts w:hint="eastAsia"/>
                <w:kern w:val="22"/>
                <w:sz w:val="24"/>
                <w:szCs w:val="24"/>
              </w:rPr>
              <w:t>，</w:t>
            </w:r>
            <w:r w:rsidRPr="007E2845">
              <w:rPr>
                <w:rFonts w:hint="eastAsia"/>
                <w:caps/>
                <w:sz w:val="24"/>
                <w:szCs w:val="24"/>
                <w:lang w:val="zh-CN"/>
              </w:rPr>
              <w:t>罗马</w:t>
            </w:r>
            <w:r w:rsidRPr="007E2845">
              <w:rPr>
                <w:caps/>
                <w:sz w:val="24"/>
                <w:szCs w:val="24"/>
              </w:rPr>
              <w:t xml:space="preserve"> </w:t>
            </w:r>
          </w:p>
          <w:p w14:paraId="0F1E2BB7" w14:textId="77777777" w:rsidR="00B50559" w:rsidRPr="007E2845" w:rsidRDefault="00B50559">
            <w:pPr>
              <w:pStyle w:val="AFCorNNormal"/>
              <w:rPr>
                <w:sz w:val="24"/>
                <w:szCs w:val="24"/>
              </w:rPr>
            </w:pPr>
            <w:r w:rsidRPr="007E2845">
              <w:rPr>
                <w:rFonts w:hint="eastAsia"/>
                <w:sz w:val="24"/>
                <w:szCs w:val="24"/>
                <w:lang w:val="zh-CN"/>
              </w:rPr>
              <w:t>临时议程</w:t>
            </w:r>
            <w:r w:rsidRPr="007E2845">
              <w:rPr>
                <w:rStyle w:val="FootnoteReference"/>
                <w:sz w:val="24"/>
                <w:szCs w:val="24"/>
              </w:rPr>
              <w:footnoteReference w:customMarkFollows="1" w:id="1"/>
              <w:t>*</w:t>
            </w:r>
            <w:r w:rsidRPr="007E2845">
              <w:rPr>
                <w:rFonts w:hint="eastAsia"/>
                <w:sz w:val="24"/>
                <w:szCs w:val="24"/>
                <w:lang w:val="zh-CN"/>
              </w:rPr>
              <w:t>项目</w:t>
            </w:r>
            <w:r w:rsidRPr="007E2845">
              <w:rPr>
                <w:sz w:val="24"/>
                <w:szCs w:val="24"/>
              </w:rPr>
              <w:t>8</w:t>
            </w:r>
          </w:p>
          <w:p w14:paraId="137FB512" w14:textId="77777777" w:rsidR="00B50559" w:rsidRDefault="00B50559">
            <w:pPr>
              <w:pStyle w:val="AFCorNBold"/>
              <w:rPr>
                <w:szCs w:val="24"/>
              </w:rPr>
            </w:pPr>
            <w:r w:rsidRPr="007E2845">
              <w:rPr>
                <w:rFonts w:hint="eastAsia"/>
                <w:sz w:val="24"/>
                <w:szCs w:val="24"/>
                <w:lang w:val="zh-CN"/>
              </w:rPr>
              <w:t>《名古屋议定书》第</w:t>
            </w:r>
            <w:r w:rsidRPr="007E2845">
              <w:rPr>
                <w:sz w:val="24"/>
                <w:szCs w:val="24"/>
              </w:rPr>
              <w:t>4</w:t>
            </w:r>
            <w:r w:rsidRPr="007E2845">
              <w:rPr>
                <w:rFonts w:hint="eastAsia"/>
                <w:sz w:val="24"/>
                <w:szCs w:val="24"/>
                <w:lang w:val="zh-CN"/>
              </w:rPr>
              <w:t>条第</w:t>
            </w:r>
            <w:r w:rsidRPr="007E2845">
              <w:rPr>
                <w:sz w:val="24"/>
                <w:szCs w:val="24"/>
              </w:rPr>
              <w:t>4</w:t>
            </w:r>
            <w:r w:rsidRPr="007E2845">
              <w:rPr>
                <w:rFonts w:hint="eastAsia"/>
                <w:sz w:val="24"/>
                <w:szCs w:val="24"/>
                <w:lang w:val="zh-CN"/>
              </w:rPr>
              <w:t>款范围内遗传资源获取和惠益分享专门性国际文书</w:t>
            </w:r>
          </w:p>
        </w:tc>
        <w:tc>
          <w:tcPr>
            <w:tcW w:w="4388" w:type="dxa"/>
          </w:tcPr>
          <w:p w14:paraId="25521FC0" w14:textId="77777777" w:rsidR="00B50559" w:rsidRDefault="00B50559">
            <w:pPr>
              <w:pStyle w:val="CBDNormal"/>
              <w:jc w:val="left"/>
              <w:rPr>
                <w:szCs w:val="24"/>
              </w:rPr>
            </w:pPr>
          </w:p>
        </w:tc>
      </w:tr>
    </w:tbl>
    <w:p w14:paraId="3171039F" w14:textId="77777777" w:rsidR="00B50559" w:rsidRPr="00961857" w:rsidRDefault="00B50559">
      <w:pPr>
        <w:pStyle w:val="CBDTitle"/>
        <w:rPr>
          <w:rFonts w:eastAsia="SimHei"/>
          <w:caps/>
          <w:szCs w:val="24"/>
        </w:rPr>
      </w:pPr>
      <w:r w:rsidRPr="00961857">
        <w:rPr>
          <w:rFonts w:eastAsia="SimHei"/>
          <w:szCs w:val="24"/>
          <w:lang w:val="zh-CN"/>
        </w:rPr>
        <w:t>《名古屋议定书》第</w:t>
      </w:r>
      <w:r w:rsidRPr="00961857">
        <w:rPr>
          <w:rFonts w:eastAsia="SimHei"/>
          <w:szCs w:val="24"/>
        </w:rPr>
        <w:t>4</w:t>
      </w:r>
      <w:r w:rsidRPr="00961857">
        <w:rPr>
          <w:rFonts w:eastAsia="SimHei"/>
          <w:szCs w:val="24"/>
          <w:lang w:val="zh-CN"/>
        </w:rPr>
        <w:t>条第</w:t>
      </w:r>
      <w:r w:rsidRPr="00961857">
        <w:rPr>
          <w:rFonts w:eastAsia="SimHei"/>
          <w:szCs w:val="24"/>
        </w:rPr>
        <w:t>4</w:t>
      </w:r>
      <w:r w:rsidRPr="00961857">
        <w:rPr>
          <w:rFonts w:eastAsia="SimHei"/>
          <w:szCs w:val="24"/>
          <w:lang w:val="zh-CN"/>
        </w:rPr>
        <w:t>款范围内遗传资源获取和惠益分享专门性国际文书</w:t>
      </w:r>
    </w:p>
    <w:p w14:paraId="57A4BB02" w14:textId="32083470" w:rsidR="00B50559" w:rsidRPr="000D58B8" w:rsidRDefault="00B50559">
      <w:pPr>
        <w:pStyle w:val="CBDSubTitle"/>
        <w:rPr>
          <w:sz w:val="24"/>
          <w:szCs w:val="24"/>
          <w:lang w:val="en-US"/>
        </w:rPr>
      </w:pPr>
      <w:r w:rsidRPr="007E2845">
        <w:rPr>
          <w:rFonts w:ascii="SimSun" w:hint="eastAsia"/>
          <w:sz w:val="24"/>
          <w:szCs w:val="24"/>
          <w:lang w:val="zh-CN"/>
        </w:rPr>
        <w:t>秘书处的说明</w:t>
      </w:r>
      <w:r w:rsidR="000D58B8">
        <w:rPr>
          <w:rFonts w:ascii="SimSun"/>
          <w:sz w:val="24"/>
          <w:szCs w:val="24"/>
          <w:lang w:val="en-US"/>
        </w:rPr>
        <w:t xml:space="preserve">  </w:t>
      </w:r>
    </w:p>
    <w:p w14:paraId="65A72A2B" w14:textId="77777777" w:rsidR="00B50559" w:rsidRPr="007E2845" w:rsidRDefault="00B50559">
      <w:pPr>
        <w:pStyle w:val="CBDH1"/>
        <w:rPr>
          <w:sz w:val="24"/>
          <w:szCs w:val="24"/>
        </w:rPr>
      </w:pPr>
      <w:r w:rsidRPr="007E2845">
        <w:rPr>
          <w:rFonts w:hint="eastAsia"/>
          <w:szCs w:val="24"/>
          <w:lang w:val="zh-CN"/>
        </w:rPr>
        <w:t>一</w:t>
      </w:r>
      <w:r w:rsidRPr="007E2845">
        <w:rPr>
          <w:szCs w:val="24"/>
          <w:lang w:val="zh-CN"/>
        </w:rPr>
        <w:t>.</w:t>
      </w:r>
      <w:r w:rsidRPr="007E2845">
        <w:rPr>
          <w:szCs w:val="24"/>
        </w:rPr>
        <w:tab/>
      </w:r>
      <w:r w:rsidRPr="007E2845">
        <w:rPr>
          <w:rFonts w:hint="eastAsia"/>
          <w:szCs w:val="24"/>
          <w:lang w:val="zh-CN"/>
        </w:rPr>
        <w:t>导言和背景</w:t>
      </w:r>
    </w:p>
    <w:p w14:paraId="5909A9C8" w14:textId="20437EFD" w:rsidR="00B50559" w:rsidRPr="007E2845" w:rsidRDefault="00B50559">
      <w:pPr>
        <w:pStyle w:val="CBDNormalNumber"/>
        <w:numPr>
          <w:ilvl w:val="0"/>
          <w:numId w:val="18"/>
        </w:numPr>
        <w:ind w:firstLine="0"/>
        <w:rPr>
          <w:sz w:val="24"/>
          <w:szCs w:val="24"/>
        </w:rPr>
      </w:pPr>
      <w:r w:rsidRPr="007E2845">
        <w:rPr>
          <w:rFonts w:hint="eastAsia"/>
          <w:sz w:val="24"/>
          <w:szCs w:val="24"/>
          <w:lang w:val="zh-CN"/>
        </w:rPr>
        <w:t>作为关于获取遗传资源和公正和公平分享其利用所产生惠益的名古屋议定书缔约方会议的缔约方大会在其第</w:t>
      </w:r>
      <w:hyperlink r:id="rId10" w:history="1">
        <w:r w:rsidRPr="007E2845">
          <w:rPr>
            <w:rStyle w:val="Hyperlink"/>
            <w:sz w:val="24"/>
            <w:szCs w:val="24"/>
          </w:rPr>
          <w:t>NP-4/</w:t>
        </w:r>
        <w:r w:rsidRPr="007E2845">
          <w:rPr>
            <w:rStyle w:val="Hyperlink"/>
            <w:sz w:val="24"/>
            <w:szCs w:val="24"/>
          </w:rPr>
          <w:t>1</w:t>
        </w:r>
        <w:r w:rsidRPr="007E2845">
          <w:rPr>
            <w:rStyle w:val="Hyperlink"/>
            <w:sz w:val="24"/>
            <w:szCs w:val="24"/>
          </w:rPr>
          <w:t>1</w:t>
        </w:r>
      </w:hyperlink>
      <w:r w:rsidRPr="007E2845">
        <w:rPr>
          <w:rFonts w:hint="eastAsia"/>
          <w:sz w:val="24"/>
          <w:szCs w:val="24"/>
          <w:lang w:val="zh-CN"/>
        </w:rPr>
        <w:t>号决定中表示注意到执行问题附属机构第</w:t>
      </w:r>
      <w:hyperlink r:id="rId11" w:history="1">
        <w:r w:rsidRPr="007E2845">
          <w:rPr>
            <w:rStyle w:val="Hyperlink"/>
            <w:sz w:val="24"/>
            <w:szCs w:val="24"/>
          </w:rPr>
          <w:t>3/16</w:t>
        </w:r>
      </w:hyperlink>
      <w:r w:rsidRPr="007E2845">
        <w:rPr>
          <w:rFonts w:hint="eastAsia"/>
          <w:sz w:val="24"/>
          <w:szCs w:val="24"/>
          <w:lang w:val="zh-CN"/>
        </w:rPr>
        <w:t>号建议</w:t>
      </w:r>
      <w:r w:rsidRPr="007E2845">
        <w:rPr>
          <w:rFonts w:hint="eastAsia"/>
          <w:sz w:val="24"/>
          <w:szCs w:val="24"/>
        </w:rPr>
        <w:t>，</w:t>
      </w:r>
      <w:r w:rsidRPr="007E2845">
        <w:rPr>
          <w:rFonts w:hint="eastAsia"/>
          <w:sz w:val="24"/>
          <w:szCs w:val="24"/>
          <w:lang w:val="zh-CN"/>
        </w:rPr>
        <w:t>其中附属机构建议</w:t>
      </w:r>
      <w:r w:rsidRPr="007E2845">
        <w:rPr>
          <w:rFonts w:hint="eastAsia"/>
          <w:sz w:val="24"/>
          <w:szCs w:val="24"/>
        </w:rPr>
        <w:t>，</w:t>
      </w:r>
      <w:r w:rsidRPr="007E2845">
        <w:rPr>
          <w:rFonts w:hint="eastAsia"/>
          <w:sz w:val="24"/>
          <w:szCs w:val="24"/>
          <w:lang w:val="zh-CN"/>
        </w:rPr>
        <w:t>由于缔约方之间存在不同意见</w:t>
      </w:r>
      <w:r w:rsidRPr="007E2845">
        <w:rPr>
          <w:rFonts w:hint="eastAsia"/>
          <w:sz w:val="24"/>
          <w:szCs w:val="24"/>
        </w:rPr>
        <w:t>，</w:t>
      </w:r>
      <w:r w:rsidRPr="007E2845">
        <w:rPr>
          <w:rFonts w:hint="eastAsia"/>
          <w:sz w:val="24"/>
          <w:szCs w:val="24"/>
          <w:lang w:val="zh-CN"/>
        </w:rPr>
        <w:t>应进一步收集关于制定和</w:t>
      </w:r>
      <w:r w:rsidRPr="007E2845">
        <w:rPr>
          <w:sz w:val="24"/>
          <w:szCs w:val="24"/>
        </w:rPr>
        <w:t>/</w:t>
      </w:r>
      <w:r w:rsidRPr="007E2845">
        <w:rPr>
          <w:rFonts w:hint="eastAsia"/>
          <w:sz w:val="24"/>
          <w:szCs w:val="24"/>
          <w:lang w:val="zh-CN"/>
        </w:rPr>
        <w:t>或实施根据名古屋议定书第</w:t>
      </w:r>
      <w:r w:rsidRPr="007E2845">
        <w:rPr>
          <w:sz w:val="24"/>
          <w:szCs w:val="24"/>
        </w:rPr>
        <w:t>4</w:t>
      </w:r>
      <w:r w:rsidRPr="007E2845">
        <w:rPr>
          <w:rFonts w:hint="eastAsia"/>
          <w:sz w:val="24"/>
          <w:szCs w:val="24"/>
          <w:lang w:val="zh-CN"/>
        </w:rPr>
        <w:t>条第</w:t>
      </w:r>
      <w:r w:rsidRPr="007E2845">
        <w:rPr>
          <w:sz w:val="24"/>
          <w:szCs w:val="24"/>
        </w:rPr>
        <w:t>4</w:t>
      </w:r>
      <w:r w:rsidRPr="007E2845">
        <w:rPr>
          <w:rFonts w:hint="eastAsia"/>
          <w:sz w:val="24"/>
          <w:szCs w:val="24"/>
          <w:lang w:val="zh-CN"/>
        </w:rPr>
        <w:t>款规定的遗传资源获取和惠益分享专门性国际文书的信息。作为名古屋议定书缔约方会议的缔约方大会在其第</w:t>
      </w:r>
      <w:hyperlink r:id="rId12" w:history="1">
        <w:r w:rsidRPr="007E2845">
          <w:rPr>
            <w:rStyle w:val="Hyperlink"/>
            <w:sz w:val="24"/>
            <w:szCs w:val="24"/>
            <w:lang w:val="zh-CN"/>
          </w:rPr>
          <w:t>NP-5/8</w:t>
        </w:r>
      </w:hyperlink>
      <w:r w:rsidRPr="007E2845">
        <w:rPr>
          <w:rFonts w:hint="eastAsia"/>
          <w:sz w:val="24"/>
          <w:szCs w:val="24"/>
          <w:lang w:val="zh-CN"/>
        </w:rPr>
        <w:t>号决定中邀请缔约方、其他国家政府、相关利益攸关方和国际组织就第</w:t>
      </w:r>
      <w:hyperlink r:id="rId13" w:history="1">
        <w:r w:rsidRPr="007E2845">
          <w:rPr>
            <w:rStyle w:val="Hyperlink"/>
            <w:sz w:val="24"/>
            <w:szCs w:val="24"/>
            <w:lang w:val="zh-CN"/>
          </w:rPr>
          <w:t>3/16</w:t>
        </w:r>
      </w:hyperlink>
      <w:r w:rsidRPr="007E2845">
        <w:rPr>
          <w:rFonts w:hint="eastAsia"/>
          <w:sz w:val="24"/>
          <w:szCs w:val="24"/>
          <w:lang w:val="zh-CN"/>
        </w:rPr>
        <w:t>号建议提议的进程提交意见并就遗传资源获取和惠益分享专门性国际文书之间的关系提出看法。它还请执行问题附属机构第六次会议审议这项问题，并提交一项建议，供作为名古屋议定书缔约方会议的缔约方大会第六次会议审议。</w:t>
      </w:r>
    </w:p>
    <w:p w14:paraId="62C348A7" w14:textId="7B58034D" w:rsidR="00B50559" w:rsidRPr="007E2845" w:rsidRDefault="00B50559">
      <w:pPr>
        <w:pStyle w:val="CBDNormalNumber"/>
        <w:numPr>
          <w:ilvl w:val="0"/>
          <w:numId w:val="18"/>
        </w:numPr>
        <w:ind w:firstLine="0"/>
        <w:rPr>
          <w:sz w:val="24"/>
          <w:szCs w:val="24"/>
        </w:rPr>
      </w:pPr>
      <w:bookmarkStart w:id="1" w:name="_Hlk216363543"/>
      <w:r w:rsidRPr="007E2845">
        <w:rPr>
          <w:rFonts w:hint="eastAsia"/>
          <w:sz w:val="24"/>
          <w:szCs w:val="24"/>
          <w:lang w:val="zh-CN"/>
        </w:rPr>
        <w:t>各方根据第</w:t>
      </w:r>
      <w:hyperlink r:id="rId14" w:history="1">
        <w:r w:rsidRPr="007E2845">
          <w:rPr>
            <w:rStyle w:val="Hyperlink"/>
            <w:sz w:val="24"/>
            <w:szCs w:val="24"/>
          </w:rPr>
          <w:t>2025-033</w:t>
        </w:r>
      </w:hyperlink>
      <w:r w:rsidRPr="007E2845">
        <w:rPr>
          <w:rFonts w:hint="eastAsia"/>
          <w:sz w:val="24"/>
          <w:szCs w:val="24"/>
          <w:lang w:val="zh-CN"/>
        </w:rPr>
        <w:t>号通知要求提出上述意见的邀请</w:t>
      </w:r>
      <w:r w:rsidRPr="007E2845">
        <w:rPr>
          <w:rFonts w:hint="eastAsia"/>
          <w:sz w:val="24"/>
          <w:szCs w:val="24"/>
        </w:rPr>
        <w:t>，</w:t>
      </w:r>
      <w:r w:rsidRPr="007E2845">
        <w:rPr>
          <w:rFonts w:hint="eastAsia"/>
          <w:sz w:val="24"/>
          <w:szCs w:val="24"/>
          <w:lang w:val="zh-CN"/>
        </w:rPr>
        <w:t>共向公约秘书处提交了</w:t>
      </w:r>
      <w:r w:rsidRPr="007E2845">
        <w:rPr>
          <w:sz w:val="24"/>
          <w:szCs w:val="24"/>
        </w:rPr>
        <w:t>19</w:t>
      </w:r>
      <w:r w:rsidRPr="007E2845">
        <w:rPr>
          <w:rFonts w:hint="eastAsia"/>
          <w:sz w:val="24"/>
          <w:szCs w:val="24"/>
          <w:lang w:val="zh-CN"/>
        </w:rPr>
        <w:t>份</w:t>
      </w:r>
      <w:r w:rsidR="00C60FE9">
        <w:rPr>
          <w:rFonts w:hint="eastAsia"/>
          <w:sz w:val="24"/>
          <w:szCs w:val="24"/>
          <w:lang w:val="zh-CN"/>
        </w:rPr>
        <w:t>呈件</w:t>
      </w:r>
      <w:r w:rsidRPr="007E2845">
        <w:rPr>
          <w:rStyle w:val="FootnoteReference"/>
          <w:sz w:val="24"/>
          <w:szCs w:val="24"/>
          <w:lang w:val="zh-CN"/>
        </w:rPr>
        <w:footnoteReference w:id="2"/>
      </w:r>
      <w:r w:rsidRPr="007E2845">
        <w:rPr>
          <w:rFonts w:hint="eastAsia"/>
          <w:sz w:val="24"/>
          <w:szCs w:val="24"/>
        </w:rPr>
        <w:t>，</w:t>
      </w:r>
      <w:r w:rsidRPr="007E2845">
        <w:rPr>
          <w:rFonts w:hint="eastAsia"/>
          <w:sz w:val="24"/>
          <w:szCs w:val="24"/>
          <w:lang w:val="zh-CN"/>
        </w:rPr>
        <w:t>其中</w:t>
      </w:r>
      <w:r w:rsidRPr="007E2845">
        <w:rPr>
          <w:sz w:val="24"/>
          <w:szCs w:val="24"/>
        </w:rPr>
        <w:t>9</w:t>
      </w:r>
      <w:r w:rsidRPr="007E2845">
        <w:rPr>
          <w:rFonts w:hint="eastAsia"/>
          <w:sz w:val="24"/>
          <w:szCs w:val="24"/>
          <w:lang w:val="zh-CN"/>
        </w:rPr>
        <w:t>份来自缔约方</w:t>
      </w:r>
      <w:r w:rsidRPr="007E2845">
        <w:rPr>
          <w:rStyle w:val="FootnoteReference"/>
          <w:sz w:val="24"/>
          <w:szCs w:val="24"/>
          <w:lang w:val="zh-CN"/>
        </w:rPr>
        <w:footnoteReference w:id="3"/>
      </w:r>
      <w:r w:rsidR="004178B8">
        <w:rPr>
          <w:rFonts w:hint="eastAsia"/>
          <w:sz w:val="24"/>
          <w:szCs w:val="24"/>
          <w:lang w:val="zh-CN"/>
        </w:rPr>
        <w:t>，</w:t>
      </w:r>
      <w:r w:rsidRPr="007E2845">
        <w:rPr>
          <w:sz w:val="24"/>
          <w:szCs w:val="24"/>
        </w:rPr>
        <w:t>2</w:t>
      </w:r>
      <w:r w:rsidRPr="007E2845">
        <w:rPr>
          <w:rFonts w:hint="eastAsia"/>
          <w:sz w:val="24"/>
          <w:szCs w:val="24"/>
          <w:lang w:val="zh-CN"/>
        </w:rPr>
        <w:t>份来自非缔约方</w:t>
      </w:r>
      <w:r w:rsidRPr="007E2845">
        <w:rPr>
          <w:rStyle w:val="FootnoteReference"/>
          <w:sz w:val="24"/>
          <w:szCs w:val="24"/>
          <w:lang w:val="zh-CN"/>
        </w:rPr>
        <w:footnoteReference w:id="4"/>
      </w:r>
      <w:r w:rsidR="004178B8">
        <w:rPr>
          <w:rFonts w:hint="eastAsia"/>
          <w:sz w:val="24"/>
          <w:szCs w:val="24"/>
          <w:lang w:val="en-US"/>
        </w:rPr>
        <w:t>，</w:t>
      </w:r>
      <w:r w:rsidRPr="007E2845">
        <w:rPr>
          <w:sz w:val="24"/>
          <w:szCs w:val="24"/>
        </w:rPr>
        <w:t>7</w:t>
      </w:r>
      <w:r w:rsidRPr="007E2845">
        <w:rPr>
          <w:rFonts w:hint="eastAsia"/>
          <w:sz w:val="24"/>
          <w:szCs w:val="24"/>
          <w:lang w:val="zh-CN"/>
        </w:rPr>
        <w:t>份来自观察员</w:t>
      </w:r>
      <w:r w:rsidRPr="007E2845">
        <w:rPr>
          <w:rStyle w:val="FootnoteReference"/>
          <w:sz w:val="24"/>
          <w:szCs w:val="24"/>
          <w:lang w:val="zh-CN"/>
        </w:rPr>
        <w:footnoteReference w:id="5"/>
      </w:r>
      <w:r w:rsidRPr="007E2845">
        <w:rPr>
          <w:rFonts w:hint="eastAsia"/>
          <w:sz w:val="24"/>
          <w:szCs w:val="24"/>
          <w:lang w:val="zh-CN"/>
        </w:rPr>
        <w:t>。鉴于</w:t>
      </w:r>
      <w:r w:rsidR="00E800D3">
        <w:rPr>
          <w:rFonts w:hint="eastAsia"/>
          <w:sz w:val="24"/>
          <w:szCs w:val="24"/>
          <w:lang w:val="zh-CN"/>
        </w:rPr>
        <w:t>有的</w:t>
      </w:r>
      <w:r w:rsidR="00422868">
        <w:rPr>
          <w:rFonts w:hint="eastAsia"/>
          <w:sz w:val="24"/>
          <w:szCs w:val="24"/>
          <w:lang w:val="zh-CN"/>
        </w:rPr>
        <w:t>呈件</w:t>
      </w:r>
      <w:r w:rsidR="00E800D3">
        <w:rPr>
          <w:rFonts w:hint="eastAsia"/>
          <w:sz w:val="24"/>
          <w:szCs w:val="24"/>
          <w:lang w:val="zh-CN"/>
        </w:rPr>
        <w:t>是</w:t>
      </w:r>
      <w:r w:rsidRPr="007E2845">
        <w:rPr>
          <w:rFonts w:hint="eastAsia"/>
          <w:sz w:val="24"/>
          <w:szCs w:val="24"/>
          <w:lang w:val="zh-CN"/>
        </w:rPr>
        <w:t>以区域集团名义联名提交，缔约方的提交率达到</w:t>
      </w:r>
      <w:r w:rsidRPr="007E2845">
        <w:rPr>
          <w:sz w:val="24"/>
          <w:szCs w:val="24"/>
          <w:lang w:val="zh-CN"/>
        </w:rPr>
        <w:t>56%</w:t>
      </w:r>
      <w:r w:rsidRPr="007E2845">
        <w:rPr>
          <w:rFonts w:hint="eastAsia"/>
          <w:sz w:val="24"/>
          <w:szCs w:val="24"/>
          <w:lang w:val="zh-CN"/>
        </w:rPr>
        <w:t>。</w:t>
      </w:r>
      <w:r w:rsidRPr="007E2845">
        <w:rPr>
          <w:sz w:val="24"/>
          <w:szCs w:val="24"/>
        </w:rPr>
        <w:t xml:space="preserve"> </w:t>
      </w:r>
    </w:p>
    <w:bookmarkEnd w:id="1"/>
    <w:p w14:paraId="78C71731" w14:textId="2BBE1AAD" w:rsidR="00B50559" w:rsidRPr="007E2845" w:rsidRDefault="00B50559">
      <w:pPr>
        <w:pStyle w:val="CBDNormalNumber"/>
        <w:numPr>
          <w:ilvl w:val="0"/>
          <w:numId w:val="18"/>
        </w:numPr>
        <w:ind w:firstLine="0"/>
        <w:rPr>
          <w:sz w:val="24"/>
          <w:szCs w:val="24"/>
        </w:rPr>
      </w:pPr>
      <w:r w:rsidRPr="007E2845">
        <w:rPr>
          <w:rFonts w:hint="eastAsia"/>
          <w:sz w:val="24"/>
          <w:szCs w:val="24"/>
          <w:lang w:val="zh-CN"/>
        </w:rPr>
        <w:t>鉴于观察员特别是相关国际组织提交的</w:t>
      </w:r>
      <w:r w:rsidR="00422868">
        <w:rPr>
          <w:rFonts w:hint="eastAsia"/>
          <w:sz w:val="24"/>
          <w:szCs w:val="24"/>
          <w:lang w:val="zh-CN"/>
        </w:rPr>
        <w:t>呈件</w:t>
      </w:r>
      <w:r w:rsidRPr="007E2845">
        <w:rPr>
          <w:rFonts w:hint="eastAsia"/>
          <w:sz w:val="24"/>
          <w:szCs w:val="24"/>
          <w:lang w:val="zh-CN"/>
        </w:rPr>
        <w:t>有限</w:t>
      </w:r>
      <w:r w:rsidRPr="007E2845">
        <w:rPr>
          <w:rFonts w:hint="eastAsia"/>
          <w:sz w:val="24"/>
          <w:szCs w:val="24"/>
        </w:rPr>
        <w:t>，</w:t>
      </w:r>
      <w:r w:rsidRPr="007E2845">
        <w:rPr>
          <w:rFonts w:hint="eastAsia"/>
          <w:sz w:val="24"/>
          <w:szCs w:val="24"/>
          <w:lang w:val="zh-CN"/>
        </w:rPr>
        <w:t>执行秘书延长了相关国际组织提交</w:t>
      </w:r>
      <w:r w:rsidR="00422868">
        <w:rPr>
          <w:rFonts w:hint="eastAsia"/>
          <w:sz w:val="24"/>
          <w:szCs w:val="24"/>
          <w:lang w:val="zh-CN"/>
        </w:rPr>
        <w:t>呈件</w:t>
      </w:r>
      <w:r w:rsidRPr="007E2845">
        <w:rPr>
          <w:rFonts w:hint="eastAsia"/>
          <w:sz w:val="24"/>
          <w:szCs w:val="24"/>
          <w:lang w:val="zh-CN"/>
        </w:rPr>
        <w:t>的截止日期。遗憾的是，由于受到为本次会议提交</w:t>
      </w:r>
      <w:r w:rsidR="00422868">
        <w:rPr>
          <w:rFonts w:hint="eastAsia"/>
          <w:sz w:val="24"/>
          <w:szCs w:val="24"/>
          <w:lang w:val="zh-CN"/>
        </w:rPr>
        <w:t>呈件</w:t>
      </w:r>
      <w:r w:rsidRPr="007E2845">
        <w:rPr>
          <w:rFonts w:hint="eastAsia"/>
          <w:sz w:val="24"/>
          <w:szCs w:val="24"/>
          <w:lang w:val="zh-CN"/>
        </w:rPr>
        <w:t>的时间限制，在</w:t>
      </w:r>
      <w:r w:rsidRPr="007E2845">
        <w:rPr>
          <w:rFonts w:hint="eastAsia"/>
          <w:sz w:val="24"/>
          <w:szCs w:val="24"/>
          <w:lang w:val="zh-CN"/>
        </w:rPr>
        <w:lastRenderedPageBreak/>
        <w:t>原截止日期之后收到的意见无法纳入这份说明。因此，这些信息将编入秘书处为作为名古屋议定书缔约方会议的缔约方大会第六次会议编写的一份说明，其中还将纳入截至</w:t>
      </w:r>
      <w:smartTag w:uri="urn:schemas-microsoft-com:office:smarttags" w:element="chsdate">
        <w:smartTagPr>
          <w:attr w:name="IsROCDate" w:val="False"/>
          <w:attr w:name="IsLunarDate" w:val="False"/>
          <w:attr w:name="Day" w:val="28"/>
          <w:attr w:name="Month" w:val="2"/>
          <w:attr w:name="Year" w:val="2026"/>
        </w:smartTagPr>
        <w:r w:rsidRPr="007E2845">
          <w:rPr>
            <w:sz w:val="24"/>
            <w:szCs w:val="24"/>
            <w:lang w:val="zh-CN"/>
          </w:rPr>
          <w:t>2026</w:t>
        </w:r>
        <w:r w:rsidRPr="007E2845">
          <w:rPr>
            <w:rFonts w:hint="eastAsia"/>
            <w:sz w:val="24"/>
            <w:szCs w:val="24"/>
            <w:lang w:val="zh-CN"/>
          </w:rPr>
          <w:t>年</w:t>
        </w:r>
        <w:r w:rsidRPr="007E2845">
          <w:rPr>
            <w:sz w:val="24"/>
            <w:szCs w:val="24"/>
            <w:lang w:val="zh-CN"/>
          </w:rPr>
          <w:t>2</w:t>
        </w:r>
        <w:r w:rsidRPr="007E2845">
          <w:rPr>
            <w:rFonts w:hint="eastAsia"/>
            <w:sz w:val="24"/>
            <w:szCs w:val="24"/>
            <w:lang w:val="zh-CN"/>
          </w:rPr>
          <w:t>月</w:t>
        </w:r>
        <w:r w:rsidRPr="007E2845">
          <w:rPr>
            <w:sz w:val="24"/>
            <w:szCs w:val="24"/>
            <w:lang w:val="zh-CN"/>
          </w:rPr>
          <w:t>28</w:t>
        </w:r>
        <w:r w:rsidRPr="007E2845">
          <w:rPr>
            <w:rFonts w:hint="eastAsia"/>
            <w:sz w:val="24"/>
            <w:szCs w:val="24"/>
            <w:lang w:val="zh-CN"/>
          </w:rPr>
          <w:t>日</w:t>
        </w:r>
      </w:smartTag>
      <w:r w:rsidRPr="007E2845">
        <w:rPr>
          <w:rFonts w:hint="eastAsia"/>
          <w:sz w:val="24"/>
          <w:szCs w:val="24"/>
          <w:lang w:val="zh-CN"/>
        </w:rPr>
        <w:t>就名古屋议定书第</w:t>
      </w:r>
      <w:r w:rsidRPr="007E2845">
        <w:rPr>
          <w:sz w:val="24"/>
          <w:szCs w:val="24"/>
          <w:lang w:val="zh-CN"/>
        </w:rPr>
        <w:t>4</w:t>
      </w:r>
      <w:r w:rsidRPr="007E2845">
        <w:rPr>
          <w:rFonts w:hint="eastAsia"/>
          <w:sz w:val="24"/>
          <w:szCs w:val="24"/>
          <w:lang w:val="zh-CN"/>
        </w:rPr>
        <w:t>条第</w:t>
      </w:r>
      <w:r w:rsidRPr="007E2845">
        <w:rPr>
          <w:sz w:val="24"/>
          <w:szCs w:val="24"/>
          <w:lang w:val="zh-CN"/>
        </w:rPr>
        <w:t>4</w:t>
      </w:r>
      <w:r w:rsidRPr="007E2845">
        <w:rPr>
          <w:rFonts w:hint="eastAsia"/>
          <w:sz w:val="24"/>
          <w:szCs w:val="24"/>
          <w:lang w:val="zh-CN"/>
        </w:rPr>
        <w:t>款有关的信息提交的第七次国家报告，作为对议定书有效性进行评估和审查的一部分。</w:t>
      </w:r>
    </w:p>
    <w:p w14:paraId="08D19B8E" w14:textId="3556B3A9" w:rsidR="00B50559" w:rsidRPr="007E2845" w:rsidRDefault="00B50559">
      <w:pPr>
        <w:pStyle w:val="CBDNormalNumber"/>
        <w:numPr>
          <w:ilvl w:val="0"/>
          <w:numId w:val="18"/>
        </w:numPr>
        <w:ind w:firstLine="0"/>
        <w:rPr>
          <w:sz w:val="24"/>
          <w:szCs w:val="24"/>
        </w:rPr>
      </w:pPr>
      <w:r w:rsidRPr="007E2845">
        <w:rPr>
          <w:rFonts w:hint="eastAsia"/>
          <w:sz w:val="24"/>
          <w:szCs w:val="24"/>
          <w:lang w:val="zh-CN"/>
        </w:rPr>
        <w:t>本文件介绍了收到的各种意见，重点阐述了对第</w:t>
      </w:r>
      <w:hyperlink r:id="rId15" w:history="1">
        <w:r w:rsidRPr="007E2845">
          <w:rPr>
            <w:rStyle w:val="Hyperlink"/>
            <w:sz w:val="24"/>
            <w:szCs w:val="24"/>
            <w:lang w:val="zh-CN"/>
          </w:rPr>
          <w:t>3/16</w:t>
        </w:r>
      </w:hyperlink>
      <w:r w:rsidRPr="007E2845">
        <w:rPr>
          <w:rFonts w:hint="eastAsia"/>
          <w:sz w:val="24"/>
          <w:szCs w:val="24"/>
          <w:lang w:val="zh-CN"/>
        </w:rPr>
        <w:t>号建议提出的进程和与其他遗传资源获取和惠益分享国际文书之间关系的主要分歧和共识（第二节）、概述了提交的意见中跨领域的问题（第三节）、列出了提交的意见中提及的与《名古屋议定书》其他相关条款的联系（第四节）以及供执行问题附属机构审议的建议草案（第五节）。</w:t>
      </w:r>
    </w:p>
    <w:p w14:paraId="6C4947A9" w14:textId="3E7BB4FF" w:rsidR="00B50559" w:rsidRPr="007E2845" w:rsidRDefault="00B50559">
      <w:pPr>
        <w:pStyle w:val="CBDH1"/>
        <w:rPr>
          <w:szCs w:val="24"/>
        </w:rPr>
      </w:pPr>
      <w:r w:rsidRPr="007E2845">
        <w:rPr>
          <w:rFonts w:hint="eastAsia"/>
          <w:szCs w:val="24"/>
          <w:lang w:val="zh-CN"/>
        </w:rPr>
        <w:t>二</w:t>
      </w:r>
      <w:r w:rsidRPr="007E2845">
        <w:rPr>
          <w:rFonts w:hint="eastAsia"/>
          <w:szCs w:val="24"/>
          <w:lang w:val="en-US"/>
        </w:rPr>
        <w:t>．</w:t>
      </w:r>
      <w:r w:rsidRPr="007E2845">
        <w:rPr>
          <w:szCs w:val="24"/>
        </w:rPr>
        <w:tab/>
      </w:r>
      <w:r w:rsidRPr="007E2845">
        <w:rPr>
          <w:rFonts w:hint="eastAsia"/>
          <w:szCs w:val="24"/>
          <w:lang w:val="zh-CN"/>
        </w:rPr>
        <w:t>对第</w:t>
      </w:r>
      <w:hyperlink r:id="rId16" w:history="1">
        <w:r w:rsidRPr="007E2845">
          <w:rPr>
            <w:rStyle w:val="Hyperlink"/>
            <w:szCs w:val="24"/>
          </w:rPr>
          <w:t>3/</w:t>
        </w:r>
        <w:r w:rsidRPr="007E2845">
          <w:rPr>
            <w:rStyle w:val="Hyperlink"/>
            <w:szCs w:val="24"/>
          </w:rPr>
          <w:t>1</w:t>
        </w:r>
        <w:r w:rsidRPr="007E2845">
          <w:rPr>
            <w:rStyle w:val="Hyperlink"/>
            <w:szCs w:val="24"/>
          </w:rPr>
          <w:t>6</w:t>
        </w:r>
      </w:hyperlink>
      <w:r w:rsidRPr="007E2845">
        <w:rPr>
          <w:rFonts w:hint="eastAsia"/>
          <w:szCs w:val="24"/>
          <w:lang w:val="zh-CN"/>
        </w:rPr>
        <w:t>号建议</w:t>
      </w:r>
      <w:r w:rsidR="00E4425E">
        <w:rPr>
          <w:rFonts w:hint="eastAsia"/>
          <w:szCs w:val="24"/>
          <w:lang w:val="zh-CN"/>
        </w:rPr>
        <w:t>所提</w:t>
      </w:r>
      <w:r w:rsidRPr="007E2845">
        <w:rPr>
          <w:rFonts w:hint="eastAsia"/>
          <w:szCs w:val="24"/>
          <w:lang w:val="zh-CN"/>
        </w:rPr>
        <w:t>进程和与其他国际组织之间关系的意见</w:t>
      </w:r>
      <w:r w:rsidR="0030516D">
        <w:rPr>
          <w:rFonts w:hint="eastAsia"/>
          <w:szCs w:val="24"/>
          <w:lang w:val="zh-CN"/>
        </w:rPr>
        <w:t>概述</w:t>
      </w:r>
    </w:p>
    <w:p w14:paraId="524F1D9F" w14:textId="323E636D" w:rsidR="00B50559" w:rsidRPr="007E2845" w:rsidRDefault="00B50559">
      <w:pPr>
        <w:pStyle w:val="CBDH2"/>
        <w:jc w:val="left"/>
        <w:rPr>
          <w:szCs w:val="24"/>
        </w:rPr>
      </w:pPr>
      <w:r w:rsidRPr="007E2845">
        <w:rPr>
          <w:noProof/>
          <w:szCs w:val="24"/>
        </w:rPr>
        <w:t>A.</w:t>
      </w:r>
      <w:r w:rsidRPr="007E2845">
        <w:rPr>
          <w:szCs w:val="24"/>
        </w:rPr>
        <w:tab/>
      </w:r>
      <w:r w:rsidRPr="007E2845">
        <w:rPr>
          <w:rFonts w:hint="eastAsia"/>
          <w:szCs w:val="24"/>
          <w:lang w:val="zh-CN"/>
        </w:rPr>
        <w:t>对第</w:t>
      </w:r>
      <w:hyperlink r:id="rId17" w:history="1">
        <w:r w:rsidRPr="007E2845">
          <w:rPr>
            <w:rStyle w:val="Hyperlink"/>
            <w:szCs w:val="24"/>
          </w:rPr>
          <w:t>3/16</w:t>
        </w:r>
      </w:hyperlink>
      <w:r w:rsidRPr="007E2845">
        <w:rPr>
          <w:rFonts w:hint="eastAsia"/>
          <w:szCs w:val="24"/>
          <w:lang w:val="zh-CN"/>
        </w:rPr>
        <w:t>号建议第</w:t>
      </w:r>
      <w:r w:rsidRPr="007E2845">
        <w:rPr>
          <w:szCs w:val="24"/>
        </w:rPr>
        <w:t>5</w:t>
      </w:r>
      <w:r w:rsidRPr="007E2845">
        <w:rPr>
          <w:rFonts w:hint="eastAsia"/>
          <w:szCs w:val="24"/>
          <w:lang w:val="zh-CN"/>
        </w:rPr>
        <w:t>段和第</w:t>
      </w:r>
      <w:r w:rsidRPr="007E2845">
        <w:rPr>
          <w:szCs w:val="24"/>
        </w:rPr>
        <w:t>6</w:t>
      </w:r>
      <w:r w:rsidRPr="007E2845">
        <w:rPr>
          <w:rFonts w:hint="eastAsia"/>
          <w:szCs w:val="24"/>
          <w:lang w:val="zh-CN"/>
        </w:rPr>
        <w:t>段</w:t>
      </w:r>
      <w:r w:rsidR="00E4425E">
        <w:rPr>
          <w:rFonts w:hint="eastAsia"/>
          <w:szCs w:val="24"/>
          <w:lang w:val="zh-CN"/>
        </w:rPr>
        <w:t>所提</w:t>
      </w:r>
      <w:r w:rsidRPr="007E2845">
        <w:rPr>
          <w:rFonts w:hint="eastAsia"/>
          <w:szCs w:val="24"/>
          <w:lang w:val="zh-CN"/>
        </w:rPr>
        <w:t>进程的意见</w:t>
      </w:r>
      <w:r w:rsidR="0030516D">
        <w:rPr>
          <w:rFonts w:hint="eastAsia"/>
          <w:szCs w:val="24"/>
          <w:lang w:val="zh-CN"/>
        </w:rPr>
        <w:t>概述</w:t>
      </w:r>
    </w:p>
    <w:p w14:paraId="40304716" w14:textId="77777777" w:rsidR="00B50559" w:rsidRPr="007E2845" w:rsidRDefault="00B50559">
      <w:pPr>
        <w:pStyle w:val="CBDNormalNumber"/>
        <w:numPr>
          <w:ilvl w:val="0"/>
          <w:numId w:val="18"/>
        </w:numPr>
        <w:ind w:firstLine="0"/>
        <w:rPr>
          <w:sz w:val="24"/>
          <w:szCs w:val="24"/>
        </w:rPr>
      </w:pPr>
      <w:r w:rsidRPr="007E2845">
        <w:rPr>
          <w:rFonts w:hint="eastAsia"/>
          <w:sz w:val="24"/>
          <w:szCs w:val="24"/>
          <w:lang w:val="zh-CN"/>
        </w:rPr>
        <w:t>对收到的意见进行总体分析之后发现</w:t>
      </w:r>
      <w:r w:rsidRPr="007E2845">
        <w:rPr>
          <w:rFonts w:hint="eastAsia"/>
          <w:sz w:val="24"/>
          <w:szCs w:val="24"/>
        </w:rPr>
        <w:t>，</w:t>
      </w:r>
      <w:r w:rsidRPr="007E2845">
        <w:rPr>
          <w:rFonts w:hint="eastAsia"/>
          <w:sz w:val="24"/>
          <w:szCs w:val="24"/>
          <w:lang w:val="zh-CN"/>
        </w:rPr>
        <w:t>各方对正式认可由作为名古屋议定书缔约方会议的缔约方大会制定的遗传基因获取和惠益分享专门性国际文书的拟议进程存在不同看法</w:t>
      </w:r>
      <w:r w:rsidRPr="007E2845">
        <w:rPr>
          <w:rFonts w:hint="eastAsia"/>
          <w:sz w:val="24"/>
          <w:szCs w:val="24"/>
        </w:rPr>
        <w:t>，</w:t>
      </w:r>
      <w:r w:rsidRPr="007E2845">
        <w:rPr>
          <w:rFonts w:hint="eastAsia"/>
          <w:sz w:val="24"/>
          <w:szCs w:val="24"/>
          <w:lang w:val="zh-CN"/>
        </w:rPr>
        <w:t>具体如下</w:t>
      </w:r>
      <w:r w:rsidRPr="007E2845">
        <w:rPr>
          <w:rFonts w:hint="eastAsia"/>
          <w:sz w:val="24"/>
          <w:szCs w:val="24"/>
        </w:rPr>
        <w:t>：</w:t>
      </w:r>
    </w:p>
    <w:p w14:paraId="1723E72B" w14:textId="77777777" w:rsidR="00B50559" w:rsidRPr="007E2845" w:rsidRDefault="00B50559">
      <w:pPr>
        <w:pStyle w:val="CBDNormalNumber"/>
        <w:numPr>
          <w:ilvl w:val="1"/>
          <w:numId w:val="18"/>
        </w:numPr>
        <w:rPr>
          <w:sz w:val="24"/>
          <w:szCs w:val="24"/>
        </w:rPr>
      </w:pPr>
      <w:r w:rsidRPr="007E2845">
        <w:rPr>
          <w:rFonts w:hint="eastAsia"/>
          <w:sz w:val="24"/>
          <w:szCs w:val="24"/>
          <w:lang w:val="zh-CN"/>
        </w:rPr>
        <w:t>一些缔约方和利益攸关方支持该提案</w:t>
      </w:r>
      <w:r w:rsidRPr="007E2845">
        <w:rPr>
          <w:rFonts w:hint="eastAsia"/>
          <w:sz w:val="24"/>
          <w:szCs w:val="24"/>
        </w:rPr>
        <w:t>，</w:t>
      </w:r>
      <w:r w:rsidRPr="007E2845">
        <w:rPr>
          <w:rFonts w:hint="eastAsia"/>
          <w:sz w:val="24"/>
          <w:szCs w:val="24"/>
          <w:lang w:val="zh-CN"/>
        </w:rPr>
        <w:t>并呼吁建立一个由缔约方主导、透明且基于标准的程序</w:t>
      </w:r>
      <w:r w:rsidRPr="007E2845">
        <w:rPr>
          <w:rFonts w:hint="eastAsia"/>
          <w:sz w:val="24"/>
          <w:szCs w:val="24"/>
        </w:rPr>
        <w:t>，</w:t>
      </w:r>
      <w:r w:rsidRPr="007E2845">
        <w:rPr>
          <w:rFonts w:hint="eastAsia"/>
          <w:sz w:val="24"/>
          <w:szCs w:val="24"/>
          <w:lang w:val="zh-CN"/>
        </w:rPr>
        <w:t>以确定由作为名古屋议定书缔约方会议的缔约方大会制定的遗传资源获取和惠益分享专门性国际文书的地位或认可该文书。它们强调需要建立法律确定性、进行定期审查和制定争端解决机制</w:t>
      </w:r>
      <w:r w:rsidRPr="007E2845">
        <w:rPr>
          <w:rFonts w:hint="eastAsia"/>
          <w:sz w:val="24"/>
          <w:szCs w:val="24"/>
        </w:rPr>
        <w:t>，</w:t>
      </w:r>
      <w:r w:rsidRPr="007E2845">
        <w:rPr>
          <w:rFonts w:hint="eastAsia"/>
          <w:sz w:val="24"/>
          <w:szCs w:val="24"/>
          <w:lang w:val="zh-CN"/>
        </w:rPr>
        <w:t>以维护名古屋议定书的完整性并防止监管套利</w:t>
      </w:r>
      <w:r w:rsidRPr="007E2845">
        <w:rPr>
          <w:rFonts w:hint="eastAsia"/>
          <w:sz w:val="24"/>
          <w:szCs w:val="24"/>
        </w:rPr>
        <w:t>；</w:t>
      </w:r>
    </w:p>
    <w:p w14:paraId="57681DBC" w14:textId="77777777" w:rsidR="00B50559" w:rsidRPr="007E2845" w:rsidRDefault="00B50559">
      <w:pPr>
        <w:pStyle w:val="CBDNormalNumber"/>
        <w:numPr>
          <w:ilvl w:val="1"/>
          <w:numId w:val="18"/>
        </w:numPr>
        <w:rPr>
          <w:sz w:val="24"/>
          <w:szCs w:val="24"/>
        </w:rPr>
      </w:pPr>
      <w:r w:rsidRPr="007E2845">
        <w:rPr>
          <w:rFonts w:hint="eastAsia"/>
          <w:sz w:val="24"/>
          <w:szCs w:val="24"/>
          <w:lang w:val="zh-CN"/>
        </w:rPr>
        <w:t>其他提交意见方认为</w:t>
      </w:r>
      <w:r w:rsidRPr="007E2845">
        <w:rPr>
          <w:rFonts w:hint="eastAsia"/>
          <w:sz w:val="24"/>
          <w:szCs w:val="24"/>
        </w:rPr>
        <w:t>，</w:t>
      </w:r>
      <w:r w:rsidRPr="007E2845">
        <w:rPr>
          <w:rFonts w:hint="eastAsia"/>
          <w:sz w:val="24"/>
          <w:szCs w:val="24"/>
          <w:lang w:val="zh-CN"/>
        </w:rPr>
        <w:t>《名古屋议定书》第</w:t>
      </w:r>
      <w:r w:rsidRPr="007E2845">
        <w:rPr>
          <w:sz w:val="24"/>
          <w:szCs w:val="24"/>
        </w:rPr>
        <w:t>4</w:t>
      </w:r>
      <w:r w:rsidRPr="007E2845">
        <w:rPr>
          <w:rFonts w:hint="eastAsia"/>
          <w:sz w:val="24"/>
          <w:szCs w:val="24"/>
          <w:lang w:val="zh-CN"/>
        </w:rPr>
        <w:t>条第</w:t>
      </w:r>
      <w:r w:rsidRPr="007E2845">
        <w:rPr>
          <w:sz w:val="24"/>
          <w:szCs w:val="24"/>
        </w:rPr>
        <w:t>4</w:t>
      </w:r>
      <w:r w:rsidRPr="007E2845">
        <w:rPr>
          <w:rFonts w:hint="eastAsia"/>
          <w:sz w:val="24"/>
          <w:szCs w:val="24"/>
          <w:lang w:val="zh-CN"/>
        </w:rPr>
        <w:t>款并未授权作为名古屋议定书缔约方会议的缔约方大会建立一项正式认可的进程。它们提出警告说，这样的一个进程可能会造成意想不到的等级制度，从而损害条约的自主权，并可能延迟对其认可，尤其在涉及公共卫生等紧急情况下；</w:t>
      </w:r>
    </w:p>
    <w:p w14:paraId="50498937" w14:textId="77777777" w:rsidR="00B50559" w:rsidRPr="007E2845" w:rsidRDefault="00B50559">
      <w:pPr>
        <w:pStyle w:val="CBDNormalNumber"/>
        <w:numPr>
          <w:ilvl w:val="1"/>
          <w:numId w:val="18"/>
        </w:numPr>
        <w:rPr>
          <w:sz w:val="24"/>
          <w:szCs w:val="24"/>
        </w:rPr>
      </w:pPr>
      <w:r w:rsidRPr="007E2845">
        <w:rPr>
          <w:rFonts w:hint="eastAsia"/>
          <w:sz w:val="24"/>
          <w:szCs w:val="24"/>
          <w:lang w:val="zh-CN"/>
        </w:rPr>
        <w:t>另一些提交意见方提出了折衷方案</w:t>
      </w:r>
      <w:r w:rsidRPr="007E2845">
        <w:rPr>
          <w:rFonts w:hint="eastAsia"/>
          <w:sz w:val="24"/>
          <w:szCs w:val="24"/>
        </w:rPr>
        <w:t>，</w:t>
      </w:r>
      <w:r w:rsidRPr="007E2845">
        <w:rPr>
          <w:rFonts w:hint="eastAsia"/>
          <w:sz w:val="24"/>
          <w:szCs w:val="24"/>
          <w:lang w:val="zh-CN"/>
        </w:rPr>
        <w:t>建议应建立非强制性的报告机制</w:t>
      </w:r>
      <w:r w:rsidRPr="007E2845">
        <w:rPr>
          <w:rFonts w:hint="eastAsia"/>
          <w:sz w:val="24"/>
          <w:szCs w:val="24"/>
        </w:rPr>
        <w:t>，</w:t>
      </w:r>
      <w:r w:rsidRPr="007E2845">
        <w:rPr>
          <w:rFonts w:hint="eastAsia"/>
          <w:sz w:val="24"/>
          <w:szCs w:val="24"/>
          <w:lang w:val="zh-CN"/>
        </w:rPr>
        <w:t>例如由遗传资源获取和惠益分享专门性国际文书的理事机构自行发表声明</w:t>
      </w:r>
      <w:r w:rsidRPr="007E2845">
        <w:rPr>
          <w:rFonts w:hint="eastAsia"/>
          <w:sz w:val="24"/>
          <w:szCs w:val="24"/>
        </w:rPr>
        <w:t>，</w:t>
      </w:r>
      <w:r w:rsidRPr="007E2845">
        <w:rPr>
          <w:rFonts w:hint="eastAsia"/>
          <w:sz w:val="24"/>
          <w:szCs w:val="24"/>
          <w:lang w:val="zh-CN"/>
        </w:rPr>
        <w:t>且应更加注重加强协调</w:t>
      </w:r>
      <w:r w:rsidRPr="007E2845">
        <w:rPr>
          <w:rFonts w:hint="eastAsia"/>
          <w:sz w:val="24"/>
          <w:szCs w:val="24"/>
        </w:rPr>
        <w:t>，</w:t>
      </w:r>
      <w:r w:rsidRPr="007E2845">
        <w:rPr>
          <w:rFonts w:hint="eastAsia"/>
          <w:sz w:val="24"/>
          <w:szCs w:val="24"/>
          <w:lang w:val="zh-CN"/>
        </w:rPr>
        <w:t>而不是促进正式认可。</w:t>
      </w:r>
    </w:p>
    <w:p w14:paraId="3021ED9B" w14:textId="77777777" w:rsidR="00B50559" w:rsidRPr="007E2845" w:rsidRDefault="00B50559">
      <w:pPr>
        <w:pStyle w:val="CBDNormalNumber"/>
        <w:numPr>
          <w:ilvl w:val="0"/>
          <w:numId w:val="18"/>
        </w:numPr>
        <w:ind w:firstLine="0"/>
        <w:rPr>
          <w:sz w:val="24"/>
          <w:szCs w:val="24"/>
        </w:rPr>
      </w:pPr>
      <w:r w:rsidRPr="007E2845">
        <w:rPr>
          <w:rFonts w:hint="eastAsia"/>
          <w:sz w:val="24"/>
          <w:szCs w:val="24"/>
          <w:lang w:val="zh-CN"/>
        </w:rPr>
        <w:t>许多提交意见方强调需要建立平衡的治理体系</w:t>
      </w:r>
      <w:r w:rsidRPr="007E2845">
        <w:rPr>
          <w:rFonts w:hint="eastAsia"/>
          <w:sz w:val="24"/>
          <w:szCs w:val="24"/>
        </w:rPr>
        <w:t>，</w:t>
      </w:r>
      <w:r w:rsidRPr="007E2845">
        <w:rPr>
          <w:rFonts w:hint="eastAsia"/>
          <w:sz w:val="24"/>
          <w:szCs w:val="24"/>
          <w:lang w:val="zh-CN"/>
        </w:rPr>
        <w:t>既尊重缔约方的主权</w:t>
      </w:r>
      <w:r w:rsidRPr="007E2845">
        <w:rPr>
          <w:rFonts w:hint="eastAsia"/>
          <w:sz w:val="24"/>
          <w:szCs w:val="24"/>
        </w:rPr>
        <w:t>，</w:t>
      </w:r>
      <w:r w:rsidRPr="007E2845">
        <w:rPr>
          <w:rFonts w:hint="eastAsia"/>
          <w:sz w:val="24"/>
          <w:szCs w:val="24"/>
          <w:lang w:val="zh-CN"/>
        </w:rPr>
        <w:t>又尊重其他国际文书的职能自主权。在这方面，一些提交意见方建议考虑建立自愿报告机制、确定遗传资源获取和惠益分享专门性国际文书的地位或认可的指示性标准以及对话平台，以促进相互支持，而不是强加僵化的等级制度。</w:t>
      </w:r>
    </w:p>
    <w:p w14:paraId="20A518FF" w14:textId="77777777" w:rsidR="00B50559" w:rsidRPr="007E2845" w:rsidRDefault="00B50559">
      <w:pPr>
        <w:pStyle w:val="CBDH2"/>
        <w:rPr>
          <w:szCs w:val="24"/>
        </w:rPr>
      </w:pPr>
      <w:r w:rsidRPr="007E2845">
        <w:rPr>
          <w:noProof/>
          <w:szCs w:val="24"/>
        </w:rPr>
        <w:t>B.</w:t>
      </w:r>
      <w:r w:rsidRPr="007E2845">
        <w:rPr>
          <w:szCs w:val="24"/>
        </w:rPr>
        <w:tab/>
      </w:r>
      <w:r w:rsidRPr="007E2845">
        <w:rPr>
          <w:rFonts w:hint="eastAsia"/>
          <w:szCs w:val="24"/>
          <w:lang w:val="zh-CN"/>
        </w:rPr>
        <w:t>关于与其他国际文书之间关系的意见</w:t>
      </w:r>
    </w:p>
    <w:p w14:paraId="78BC9F43" w14:textId="77777777" w:rsidR="00B50559" w:rsidRPr="007E2845" w:rsidRDefault="00B50559">
      <w:pPr>
        <w:pStyle w:val="CBDNormalNumber"/>
        <w:numPr>
          <w:ilvl w:val="0"/>
          <w:numId w:val="18"/>
        </w:numPr>
        <w:ind w:firstLine="0"/>
        <w:rPr>
          <w:sz w:val="24"/>
          <w:szCs w:val="24"/>
        </w:rPr>
      </w:pPr>
      <w:r w:rsidRPr="007E2845">
        <w:rPr>
          <w:rFonts w:hint="eastAsia"/>
          <w:sz w:val="24"/>
          <w:szCs w:val="24"/>
          <w:lang w:val="zh-CN"/>
        </w:rPr>
        <w:t>收到的意见表明</w:t>
      </w:r>
      <w:r w:rsidRPr="007E2845">
        <w:rPr>
          <w:rFonts w:hint="eastAsia"/>
          <w:sz w:val="24"/>
          <w:szCs w:val="24"/>
        </w:rPr>
        <w:t>，</w:t>
      </w:r>
      <w:r w:rsidRPr="007E2845">
        <w:rPr>
          <w:rFonts w:hint="eastAsia"/>
          <w:sz w:val="24"/>
          <w:szCs w:val="24"/>
          <w:lang w:val="zh-CN"/>
        </w:rPr>
        <w:t>各方普遍认为遗传资源获取和惠益分享专门性国际文书必须符合《生物多样性公约》和《名古屋议定书》的目标</w:t>
      </w:r>
      <w:r w:rsidRPr="007E2845">
        <w:rPr>
          <w:rFonts w:hint="eastAsia"/>
          <w:sz w:val="24"/>
          <w:szCs w:val="24"/>
        </w:rPr>
        <w:t>，</w:t>
      </w:r>
      <w:r w:rsidRPr="007E2845">
        <w:rPr>
          <w:rFonts w:hint="eastAsia"/>
          <w:sz w:val="24"/>
          <w:szCs w:val="24"/>
          <w:lang w:val="zh-CN"/>
        </w:rPr>
        <w:t>且不得与之相悖</w:t>
      </w:r>
      <w:r w:rsidRPr="007E2845">
        <w:rPr>
          <w:rFonts w:hint="eastAsia"/>
          <w:sz w:val="24"/>
          <w:szCs w:val="24"/>
        </w:rPr>
        <w:t>，</w:t>
      </w:r>
      <w:r w:rsidRPr="007E2845">
        <w:rPr>
          <w:rFonts w:hint="eastAsia"/>
          <w:sz w:val="24"/>
          <w:szCs w:val="24"/>
          <w:lang w:val="zh-CN"/>
        </w:rPr>
        <w:t>但对于如何处理与其他文书之间的关系</w:t>
      </w:r>
      <w:r w:rsidRPr="007E2845">
        <w:rPr>
          <w:rFonts w:hint="eastAsia"/>
          <w:sz w:val="24"/>
          <w:szCs w:val="24"/>
        </w:rPr>
        <w:t>，</w:t>
      </w:r>
      <w:r w:rsidRPr="007E2845">
        <w:rPr>
          <w:rFonts w:hint="eastAsia"/>
          <w:sz w:val="24"/>
          <w:szCs w:val="24"/>
          <w:lang w:val="zh-CN"/>
        </w:rPr>
        <w:t>各方意见不一</w:t>
      </w:r>
      <w:r w:rsidRPr="007E2845">
        <w:rPr>
          <w:rFonts w:hint="eastAsia"/>
          <w:sz w:val="24"/>
          <w:szCs w:val="24"/>
        </w:rPr>
        <w:t>，</w:t>
      </w:r>
      <w:r w:rsidRPr="007E2845">
        <w:rPr>
          <w:rFonts w:hint="eastAsia"/>
          <w:sz w:val="24"/>
          <w:szCs w:val="24"/>
          <w:lang w:val="zh-CN"/>
        </w:rPr>
        <w:t>概述如下</w:t>
      </w:r>
      <w:r w:rsidRPr="007E2845">
        <w:rPr>
          <w:rFonts w:hint="eastAsia"/>
          <w:sz w:val="24"/>
          <w:szCs w:val="24"/>
        </w:rPr>
        <w:t>：</w:t>
      </w:r>
    </w:p>
    <w:p w14:paraId="7736C91E" w14:textId="77777777" w:rsidR="00B50559" w:rsidRPr="007E2845" w:rsidRDefault="00B50559">
      <w:pPr>
        <w:pStyle w:val="CBDNormalNumber"/>
        <w:numPr>
          <w:ilvl w:val="1"/>
          <w:numId w:val="18"/>
        </w:numPr>
        <w:rPr>
          <w:sz w:val="24"/>
          <w:szCs w:val="24"/>
        </w:rPr>
      </w:pPr>
      <w:r w:rsidRPr="0005575F">
        <w:rPr>
          <w:rFonts w:ascii="KaiTi" w:eastAsia="KaiTi" w:hAnsi="KaiTi" w:hint="eastAsia"/>
          <w:sz w:val="24"/>
          <w:szCs w:val="24"/>
          <w:lang w:val="zh-CN"/>
        </w:rPr>
        <w:t>支持相辅相成</w:t>
      </w:r>
      <w:r w:rsidRPr="007E2845">
        <w:rPr>
          <w:rFonts w:hint="eastAsia"/>
          <w:sz w:val="24"/>
          <w:szCs w:val="24"/>
          <w:lang w:val="zh-CN"/>
        </w:rPr>
        <w:t>。许多意见提交方强调应相互支持、不存在等级和尊重条约自主性。它们不同意作为名古屋议定书缔约方会议的缔约方大会承担对其他文书的管理职责；</w:t>
      </w:r>
    </w:p>
    <w:p w14:paraId="0BCE86CD" w14:textId="77777777" w:rsidR="00B50559" w:rsidRPr="007E2845" w:rsidRDefault="00B50559">
      <w:pPr>
        <w:pStyle w:val="CBDNormalNumber"/>
        <w:numPr>
          <w:ilvl w:val="1"/>
          <w:numId w:val="18"/>
        </w:numPr>
        <w:rPr>
          <w:sz w:val="24"/>
          <w:szCs w:val="24"/>
        </w:rPr>
      </w:pPr>
      <w:r w:rsidRPr="0005575F">
        <w:rPr>
          <w:rFonts w:ascii="KaiTi" w:eastAsia="KaiTi" w:hAnsi="KaiTi" w:hint="eastAsia"/>
          <w:sz w:val="24"/>
          <w:szCs w:val="24"/>
          <w:lang w:val="zh-CN"/>
        </w:rPr>
        <w:lastRenderedPageBreak/>
        <w:t>倡导监督和协调</w:t>
      </w:r>
      <w:r w:rsidRPr="007E2845">
        <w:rPr>
          <w:rFonts w:hint="eastAsia"/>
          <w:sz w:val="24"/>
          <w:szCs w:val="24"/>
          <w:lang w:val="zh-CN"/>
        </w:rPr>
        <w:t>。一些意见提交方强调由缔约方主导进行监督、制定认可遗传资源获取和惠益分享专门性国际文书的标准化标准以及进行持续审查的重要性</w:t>
      </w:r>
      <w:r w:rsidRPr="007E2845">
        <w:rPr>
          <w:rFonts w:hint="eastAsia"/>
          <w:sz w:val="24"/>
          <w:szCs w:val="24"/>
        </w:rPr>
        <w:t>，</w:t>
      </w:r>
      <w:r w:rsidRPr="007E2845">
        <w:rPr>
          <w:rFonts w:hint="eastAsia"/>
          <w:sz w:val="24"/>
          <w:szCs w:val="24"/>
          <w:lang w:val="zh-CN"/>
        </w:rPr>
        <w:t>以确保此类文书维护遗传资源获取和惠益分享原则</w:t>
      </w:r>
      <w:r w:rsidRPr="007E2845">
        <w:rPr>
          <w:rFonts w:hint="eastAsia"/>
          <w:sz w:val="24"/>
          <w:szCs w:val="24"/>
        </w:rPr>
        <w:t>，</w:t>
      </w:r>
      <w:r w:rsidRPr="007E2845">
        <w:rPr>
          <w:rFonts w:hint="eastAsia"/>
          <w:sz w:val="24"/>
          <w:szCs w:val="24"/>
          <w:lang w:val="zh-CN"/>
        </w:rPr>
        <w:t>并且不会削弱相关义务</w:t>
      </w:r>
      <w:r w:rsidRPr="007E2845">
        <w:rPr>
          <w:rFonts w:hint="eastAsia"/>
          <w:sz w:val="24"/>
          <w:szCs w:val="24"/>
        </w:rPr>
        <w:t>；</w:t>
      </w:r>
    </w:p>
    <w:p w14:paraId="0D16268A" w14:textId="77777777" w:rsidR="00B50559" w:rsidRPr="007E2845" w:rsidRDefault="00B50559">
      <w:pPr>
        <w:pStyle w:val="CBDNormalNumber"/>
        <w:numPr>
          <w:ilvl w:val="1"/>
          <w:numId w:val="18"/>
        </w:numPr>
        <w:rPr>
          <w:sz w:val="24"/>
          <w:szCs w:val="24"/>
        </w:rPr>
      </w:pPr>
      <w:r w:rsidRPr="0005575F">
        <w:rPr>
          <w:rFonts w:ascii="KaiTi" w:eastAsia="KaiTi" w:hAnsi="KaiTi" w:hint="eastAsia"/>
          <w:sz w:val="24"/>
          <w:szCs w:val="24"/>
          <w:lang w:val="zh-CN"/>
        </w:rPr>
        <w:t>部门和区域考虑</w:t>
      </w:r>
      <w:r w:rsidRPr="007E2845">
        <w:rPr>
          <w:rFonts w:hint="eastAsia"/>
          <w:sz w:val="24"/>
          <w:szCs w:val="24"/>
          <w:lang w:val="zh-CN"/>
        </w:rPr>
        <w:t>。一些意见提交方强调区域框架的作用</w:t>
      </w:r>
      <w:r w:rsidRPr="007E2845">
        <w:rPr>
          <w:rFonts w:hint="eastAsia"/>
          <w:sz w:val="24"/>
          <w:szCs w:val="24"/>
        </w:rPr>
        <w:t>，</w:t>
      </w:r>
      <w:r w:rsidRPr="007E2845">
        <w:rPr>
          <w:rFonts w:hint="eastAsia"/>
          <w:sz w:val="24"/>
          <w:szCs w:val="24"/>
          <w:lang w:val="zh-CN"/>
        </w:rPr>
        <w:t>而另一些意见提交方则强调需要包容性治理</w:t>
      </w:r>
      <w:r w:rsidRPr="007E2845">
        <w:rPr>
          <w:rFonts w:hint="eastAsia"/>
          <w:sz w:val="24"/>
          <w:szCs w:val="24"/>
        </w:rPr>
        <w:t>，</w:t>
      </w:r>
      <w:r w:rsidRPr="007E2845">
        <w:rPr>
          <w:rFonts w:hint="eastAsia"/>
          <w:sz w:val="24"/>
          <w:szCs w:val="24"/>
          <w:lang w:val="zh-CN"/>
        </w:rPr>
        <w:t>将用于公平和公正分享利用遗传资源数字序列信息所产生的惠益的多边机制</w:t>
      </w:r>
      <w:r w:rsidRPr="007E2845">
        <w:rPr>
          <w:rFonts w:hint="eastAsia"/>
          <w:sz w:val="24"/>
          <w:szCs w:val="24"/>
        </w:rPr>
        <w:t>（</w:t>
      </w:r>
      <w:r w:rsidRPr="007E2845">
        <w:rPr>
          <w:rFonts w:hint="eastAsia"/>
          <w:sz w:val="24"/>
          <w:szCs w:val="24"/>
          <w:lang w:val="zh-CN"/>
        </w:rPr>
        <w:t>包括卡利基金</w:t>
      </w:r>
      <w:r w:rsidRPr="007E2845">
        <w:rPr>
          <w:rFonts w:hint="eastAsia"/>
          <w:sz w:val="24"/>
          <w:szCs w:val="24"/>
        </w:rPr>
        <w:t>）</w:t>
      </w:r>
      <w:r w:rsidRPr="007E2845">
        <w:rPr>
          <w:rFonts w:hint="eastAsia"/>
          <w:sz w:val="24"/>
          <w:szCs w:val="24"/>
          <w:lang w:val="zh-CN"/>
        </w:rPr>
        <w:t>和其他此类文书与《名古屋议定书》第</w:t>
      </w:r>
      <w:r w:rsidRPr="007E2845">
        <w:rPr>
          <w:sz w:val="24"/>
          <w:szCs w:val="24"/>
        </w:rPr>
        <w:t>4</w:t>
      </w:r>
      <w:r w:rsidRPr="007E2845">
        <w:rPr>
          <w:rFonts w:hint="eastAsia"/>
          <w:sz w:val="24"/>
          <w:szCs w:val="24"/>
          <w:lang w:val="zh-CN"/>
        </w:rPr>
        <w:t>条第</w:t>
      </w:r>
      <w:r w:rsidRPr="007E2845">
        <w:rPr>
          <w:sz w:val="24"/>
          <w:szCs w:val="24"/>
        </w:rPr>
        <w:t>4</w:t>
      </w:r>
      <w:r w:rsidRPr="007E2845">
        <w:rPr>
          <w:rFonts w:hint="eastAsia"/>
          <w:sz w:val="24"/>
          <w:szCs w:val="24"/>
          <w:lang w:val="zh-CN"/>
        </w:rPr>
        <w:t>款相协调</w:t>
      </w:r>
      <w:r w:rsidRPr="007E2845">
        <w:rPr>
          <w:rFonts w:hint="eastAsia"/>
          <w:sz w:val="24"/>
          <w:szCs w:val="24"/>
        </w:rPr>
        <w:t>，</w:t>
      </w:r>
      <w:r w:rsidRPr="007E2845">
        <w:rPr>
          <w:rFonts w:hint="eastAsia"/>
          <w:sz w:val="24"/>
          <w:szCs w:val="24"/>
          <w:lang w:val="zh-CN"/>
        </w:rPr>
        <w:t>以避免义务重叠</w:t>
      </w:r>
      <w:r w:rsidRPr="007E2845">
        <w:rPr>
          <w:rFonts w:hint="eastAsia"/>
          <w:sz w:val="24"/>
          <w:szCs w:val="24"/>
        </w:rPr>
        <w:t>，</w:t>
      </w:r>
      <w:r w:rsidRPr="007E2845">
        <w:rPr>
          <w:rFonts w:hint="eastAsia"/>
          <w:sz w:val="24"/>
          <w:szCs w:val="24"/>
          <w:lang w:val="zh-CN"/>
        </w:rPr>
        <w:t>并强调社区参与。</w:t>
      </w:r>
    </w:p>
    <w:p w14:paraId="25D13B39" w14:textId="77777777" w:rsidR="00B50559" w:rsidRPr="007E2845" w:rsidRDefault="00B50559">
      <w:pPr>
        <w:pStyle w:val="CBDNormalNumber"/>
        <w:numPr>
          <w:ilvl w:val="0"/>
          <w:numId w:val="18"/>
        </w:numPr>
        <w:ind w:firstLine="0"/>
        <w:rPr>
          <w:sz w:val="24"/>
          <w:szCs w:val="24"/>
        </w:rPr>
      </w:pPr>
      <w:r w:rsidRPr="007E2845">
        <w:rPr>
          <w:rFonts w:hint="eastAsia"/>
          <w:sz w:val="24"/>
          <w:szCs w:val="24"/>
          <w:lang w:val="zh-CN"/>
        </w:rPr>
        <w:t>许多意见提交方对法律明确性、政策连贯性和尊重多样化获取和惠益分享制度作出共同承诺。意见提交方还指出，与遗传资源获取和惠益分享专门性国际文书进行建设性接触可以侧重于机构间协调、信息共享和联合能力建设，确保此类文书能够加强而不是削弱全球遗传资源获取和惠益分享体系。</w:t>
      </w:r>
    </w:p>
    <w:p w14:paraId="66D9D14C" w14:textId="4AC0D61D" w:rsidR="00B50559" w:rsidRPr="007E2845" w:rsidRDefault="00B50559">
      <w:pPr>
        <w:pStyle w:val="CBDH1"/>
        <w:rPr>
          <w:szCs w:val="24"/>
        </w:rPr>
      </w:pPr>
      <w:r w:rsidRPr="007E2845">
        <w:rPr>
          <w:rFonts w:hint="eastAsia"/>
          <w:szCs w:val="24"/>
          <w:lang w:val="zh-CN"/>
        </w:rPr>
        <w:t>三</w:t>
      </w:r>
      <w:r w:rsidRPr="007E2845">
        <w:rPr>
          <w:szCs w:val="24"/>
          <w:lang w:val="en-US"/>
        </w:rPr>
        <w:t>.</w:t>
      </w:r>
      <w:r w:rsidRPr="007E2845">
        <w:rPr>
          <w:szCs w:val="24"/>
        </w:rPr>
        <w:tab/>
      </w:r>
      <w:r w:rsidR="007E1547">
        <w:rPr>
          <w:rFonts w:hint="eastAsia"/>
          <w:szCs w:val="24"/>
        </w:rPr>
        <w:t>正在出现的</w:t>
      </w:r>
      <w:r w:rsidRPr="007E2845">
        <w:rPr>
          <w:rFonts w:hint="eastAsia"/>
          <w:szCs w:val="24"/>
          <w:lang w:val="zh-CN"/>
        </w:rPr>
        <w:t>其他重要问题</w:t>
      </w:r>
    </w:p>
    <w:p w14:paraId="4D3F3769" w14:textId="77777777" w:rsidR="00B50559" w:rsidRPr="007E2845" w:rsidRDefault="00B50559">
      <w:pPr>
        <w:pStyle w:val="CBDNormalNumber"/>
        <w:numPr>
          <w:ilvl w:val="0"/>
          <w:numId w:val="18"/>
        </w:numPr>
        <w:ind w:firstLine="0"/>
        <w:rPr>
          <w:sz w:val="24"/>
          <w:szCs w:val="24"/>
        </w:rPr>
      </w:pPr>
      <w:r w:rsidRPr="007E2845">
        <w:rPr>
          <w:rFonts w:hint="eastAsia"/>
          <w:sz w:val="24"/>
          <w:szCs w:val="24"/>
          <w:lang w:val="zh-CN"/>
        </w:rPr>
        <w:t>在审议《名古屋议定书》第</w:t>
      </w:r>
      <w:r w:rsidRPr="007E2845">
        <w:rPr>
          <w:sz w:val="24"/>
          <w:szCs w:val="24"/>
        </w:rPr>
        <w:t>4</w:t>
      </w:r>
      <w:r w:rsidRPr="007E2845">
        <w:rPr>
          <w:rFonts w:hint="eastAsia"/>
          <w:sz w:val="24"/>
          <w:szCs w:val="24"/>
          <w:lang w:val="zh-CN"/>
        </w:rPr>
        <w:t>条第</w:t>
      </w:r>
      <w:r w:rsidRPr="007E2845">
        <w:rPr>
          <w:sz w:val="24"/>
          <w:szCs w:val="24"/>
        </w:rPr>
        <w:t>4</w:t>
      </w:r>
      <w:r w:rsidRPr="007E2845">
        <w:rPr>
          <w:rFonts w:hint="eastAsia"/>
          <w:sz w:val="24"/>
          <w:szCs w:val="24"/>
          <w:lang w:val="zh-CN"/>
        </w:rPr>
        <w:t>款的过程中</w:t>
      </w:r>
      <w:r w:rsidRPr="007E2845">
        <w:rPr>
          <w:rFonts w:hint="eastAsia"/>
          <w:sz w:val="24"/>
          <w:szCs w:val="24"/>
        </w:rPr>
        <w:t>，</w:t>
      </w:r>
      <w:r w:rsidRPr="007E2845">
        <w:rPr>
          <w:rFonts w:hint="eastAsia"/>
          <w:sz w:val="24"/>
          <w:szCs w:val="24"/>
          <w:lang w:val="zh-CN"/>
        </w:rPr>
        <w:t>出现了几个需要进一步关注的跨领域问题</w:t>
      </w:r>
      <w:r w:rsidRPr="007E2845">
        <w:rPr>
          <w:rFonts w:hint="eastAsia"/>
          <w:sz w:val="24"/>
          <w:szCs w:val="24"/>
        </w:rPr>
        <w:t>：</w:t>
      </w:r>
    </w:p>
    <w:p w14:paraId="0D3D9914" w14:textId="77777777" w:rsidR="00B50559" w:rsidRPr="007E2845" w:rsidRDefault="00B50559">
      <w:pPr>
        <w:pStyle w:val="CBDNormalNumber"/>
        <w:numPr>
          <w:ilvl w:val="1"/>
          <w:numId w:val="18"/>
        </w:numPr>
        <w:rPr>
          <w:sz w:val="24"/>
          <w:szCs w:val="24"/>
        </w:rPr>
      </w:pPr>
      <w:r w:rsidRPr="0005575F">
        <w:rPr>
          <w:rFonts w:ascii="KaiTi" w:eastAsia="KaiTi" w:hAnsi="KaiTi" w:hint="eastAsia"/>
          <w:sz w:val="24"/>
          <w:szCs w:val="24"/>
          <w:lang w:val="zh-CN"/>
        </w:rPr>
        <w:t>遗传资源数字序列信息</w:t>
      </w:r>
      <w:r w:rsidRPr="007E2845">
        <w:rPr>
          <w:rFonts w:hint="eastAsia"/>
          <w:sz w:val="24"/>
          <w:szCs w:val="24"/>
          <w:lang w:val="zh-CN"/>
        </w:rPr>
        <w:t>。多个意见提交方呼吁将遗传资源数字序列信息明确纳入认可遗传资源获取和惠益分享专门性国际文书的标准</w:t>
      </w:r>
      <w:r w:rsidRPr="007E2845">
        <w:rPr>
          <w:rFonts w:hint="eastAsia"/>
          <w:sz w:val="24"/>
          <w:szCs w:val="24"/>
        </w:rPr>
        <w:t>，</w:t>
      </w:r>
      <w:r w:rsidRPr="007E2845">
        <w:rPr>
          <w:rFonts w:hint="eastAsia"/>
          <w:sz w:val="24"/>
          <w:szCs w:val="24"/>
          <w:lang w:val="zh-CN"/>
        </w:rPr>
        <w:t>并强调可追溯性、惠益分享和能力建设</w:t>
      </w:r>
      <w:r w:rsidRPr="007E2845">
        <w:rPr>
          <w:rFonts w:hint="eastAsia"/>
          <w:sz w:val="24"/>
          <w:szCs w:val="24"/>
        </w:rPr>
        <w:t>；</w:t>
      </w:r>
    </w:p>
    <w:p w14:paraId="0F265741" w14:textId="77777777" w:rsidR="00B50559" w:rsidRPr="007E2845" w:rsidRDefault="00B50559">
      <w:pPr>
        <w:pStyle w:val="CBDNormalNumber"/>
        <w:numPr>
          <w:ilvl w:val="1"/>
          <w:numId w:val="18"/>
        </w:numPr>
        <w:rPr>
          <w:sz w:val="24"/>
          <w:szCs w:val="24"/>
        </w:rPr>
      </w:pPr>
      <w:r w:rsidRPr="0005575F">
        <w:rPr>
          <w:rFonts w:ascii="KaiTi" w:eastAsia="KaiTi" w:hAnsi="KaiTi" w:hint="eastAsia"/>
          <w:sz w:val="24"/>
          <w:szCs w:val="24"/>
          <w:lang w:val="zh-CN"/>
        </w:rPr>
        <w:t>土著人民和地方社区之间的公平性和权利</w:t>
      </w:r>
      <w:r w:rsidRPr="007E2845">
        <w:rPr>
          <w:rFonts w:hint="eastAsia"/>
          <w:sz w:val="24"/>
          <w:szCs w:val="24"/>
          <w:lang w:val="zh-CN"/>
        </w:rPr>
        <w:t>。多个意见提交方强调需要促进土著人民和地方社区的有效参与、尊重习惯法和建立透明的惠益分享机制</w:t>
      </w:r>
      <w:r w:rsidRPr="007E2845">
        <w:rPr>
          <w:rFonts w:hint="eastAsia"/>
          <w:sz w:val="24"/>
          <w:szCs w:val="24"/>
        </w:rPr>
        <w:t>；</w:t>
      </w:r>
    </w:p>
    <w:p w14:paraId="4CEE1AED" w14:textId="11789F7C" w:rsidR="00B50559" w:rsidRPr="007E2845" w:rsidRDefault="00B50559">
      <w:pPr>
        <w:pStyle w:val="CBDNormalNumber"/>
        <w:numPr>
          <w:ilvl w:val="1"/>
          <w:numId w:val="18"/>
        </w:numPr>
        <w:rPr>
          <w:sz w:val="24"/>
          <w:szCs w:val="24"/>
        </w:rPr>
      </w:pPr>
      <w:r w:rsidRPr="0005575F">
        <w:rPr>
          <w:rFonts w:ascii="KaiTi" w:eastAsia="KaiTi" w:hAnsi="KaiTi" w:hint="eastAsia"/>
          <w:sz w:val="24"/>
          <w:szCs w:val="24"/>
          <w:lang w:val="zh-CN"/>
        </w:rPr>
        <w:t>法律</w:t>
      </w:r>
      <w:r w:rsidR="007E1547">
        <w:rPr>
          <w:rFonts w:ascii="KaiTi" w:eastAsia="KaiTi" w:hAnsi="KaiTi" w:hint="eastAsia"/>
          <w:sz w:val="24"/>
          <w:szCs w:val="24"/>
          <w:lang w:val="zh-CN"/>
        </w:rPr>
        <w:t>确定</w:t>
      </w:r>
      <w:r w:rsidRPr="0005575F">
        <w:rPr>
          <w:rFonts w:ascii="KaiTi" w:eastAsia="KaiTi" w:hAnsi="KaiTi" w:hint="eastAsia"/>
          <w:sz w:val="24"/>
          <w:szCs w:val="24"/>
          <w:lang w:val="zh-CN"/>
        </w:rPr>
        <w:t>性和避免义务重复和累积</w:t>
      </w:r>
      <w:r w:rsidRPr="007E2845">
        <w:rPr>
          <w:rFonts w:hint="eastAsia"/>
          <w:sz w:val="24"/>
          <w:szCs w:val="24"/>
          <w:lang w:val="zh-CN"/>
        </w:rPr>
        <w:t>。一些意见提交方强调</w:t>
      </w:r>
      <w:r w:rsidRPr="007E2845">
        <w:rPr>
          <w:rFonts w:hint="eastAsia"/>
          <w:sz w:val="24"/>
          <w:szCs w:val="24"/>
        </w:rPr>
        <w:t>，</w:t>
      </w:r>
      <w:r w:rsidRPr="007E2845">
        <w:rPr>
          <w:rFonts w:hint="eastAsia"/>
          <w:sz w:val="24"/>
          <w:szCs w:val="24"/>
          <w:lang w:val="zh-CN"/>
        </w:rPr>
        <w:t>在不同的遗传资源获取和惠益分享文书下</w:t>
      </w:r>
      <w:r w:rsidRPr="007E2845">
        <w:rPr>
          <w:rFonts w:hint="eastAsia"/>
          <w:sz w:val="24"/>
          <w:szCs w:val="24"/>
        </w:rPr>
        <w:t>，</w:t>
      </w:r>
      <w:r w:rsidRPr="007E2845">
        <w:rPr>
          <w:rFonts w:hint="eastAsia"/>
          <w:sz w:val="24"/>
          <w:szCs w:val="24"/>
          <w:lang w:val="zh-CN"/>
        </w:rPr>
        <w:t>避免就同一遗传资源、遗传资源数字序列信息或相关传统知识重复提出遗传资源获取和惠益分享的主张和义务</w:t>
      </w:r>
      <w:r w:rsidRPr="007E2845">
        <w:rPr>
          <w:rFonts w:hint="eastAsia"/>
          <w:sz w:val="24"/>
          <w:szCs w:val="24"/>
        </w:rPr>
        <w:t>，</w:t>
      </w:r>
      <w:r w:rsidRPr="007E2845">
        <w:rPr>
          <w:rFonts w:hint="eastAsia"/>
          <w:sz w:val="24"/>
          <w:szCs w:val="24"/>
          <w:lang w:val="zh-CN"/>
        </w:rPr>
        <w:t>因为此类重复提出的做法可能会阻碍研究和创新</w:t>
      </w:r>
      <w:r w:rsidRPr="007E2845">
        <w:rPr>
          <w:rFonts w:hint="eastAsia"/>
          <w:sz w:val="24"/>
          <w:szCs w:val="24"/>
        </w:rPr>
        <w:t>；</w:t>
      </w:r>
    </w:p>
    <w:p w14:paraId="658BC66B" w14:textId="77777777" w:rsidR="00B50559" w:rsidRPr="007E2845" w:rsidRDefault="00B50559">
      <w:pPr>
        <w:pStyle w:val="CBDNormalNumber"/>
        <w:numPr>
          <w:ilvl w:val="1"/>
          <w:numId w:val="18"/>
        </w:numPr>
        <w:rPr>
          <w:sz w:val="24"/>
          <w:szCs w:val="24"/>
        </w:rPr>
      </w:pPr>
      <w:r w:rsidRPr="0005575F">
        <w:rPr>
          <w:rFonts w:ascii="KaiTi" w:eastAsia="KaiTi" w:hAnsi="KaiTi" w:hint="eastAsia"/>
          <w:sz w:val="24"/>
          <w:szCs w:val="24"/>
          <w:lang w:val="zh-CN"/>
        </w:rPr>
        <w:t>治理和程序保障</w:t>
      </w:r>
      <w:r w:rsidRPr="007E2845">
        <w:rPr>
          <w:rFonts w:hint="eastAsia"/>
          <w:sz w:val="24"/>
          <w:szCs w:val="24"/>
          <w:lang w:val="zh-CN"/>
        </w:rPr>
        <w:t>。一些意见提交者提出制定遗传资源获取和惠益分享的治理框架和程序保障措施，其中包括基于证据的认定、有时限的地位、公众评论期和争端解决机制，以确保问责制和适应性。</w:t>
      </w:r>
    </w:p>
    <w:p w14:paraId="3E47EC49" w14:textId="77777777" w:rsidR="00B50559" w:rsidRPr="007E2845" w:rsidRDefault="00B50559">
      <w:pPr>
        <w:pStyle w:val="CBDH1"/>
        <w:rPr>
          <w:szCs w:val="24"/>
        </w:rPr>
      </w:pPr>
      <w:r w:rsidRPr="007E2845">
        <w:rPr>
          <w:rFonts w:hint="eastAsia"/>
          <w:szCs w:val="24"/>
          <w:lang w:val="zh-CN"/>
        </w:rPr>
        <w:t>四</w:t>
      </w:r>
      <w:r w:rsidRPr="007E2845">
        <w:rPr>
          <w:szCs w:val="24"/>
          <w:lang w:val="en-US"/>
        </w:rPr>
        <w:t>.</w:t>
      </w:r>
      <w:r w:rsidRPr="007E2845">
        <w:rPr>
          <w:szCs w:val="24"/>
        </w:rPr>
        <w:tab/>
      </w:r>
      <w:r w:rsidRPr="007E2845">
        <w:rPr>
          <w:rFonts w:hint="eastAsia"/>
          <w:szCs w:val="24"/>
          <w:lang w:val="zh-CN"/>
        </w:rPr>
        <w:t>与《名古屋议定书》其他条款特别是第</w:t>
      </w:r>
      <w:r w:rsidRPr="007E2845">
        <w:rPr>
          <w:szCs w:val="24"/>
        </w:rPr>
        <w:t>10</w:t>
      </w:r>
      <w:r w:rsidRPr="007E2845">
        <w:rPr>
          <w:rFonts w:hint="eastAsia"/>
          <w:szCs w:val="24"/>
          <w:lang w:val="zh-CN"/>
        </w:rPr>
        <w:t>条的联系</w:t>
      </w:r>
    </w:p>
    <w:p w14:paraId="68407832" w14:textId="77777777" w:rsidR="00B50559" w:rsidRPr="007E2845" w:rsidRDefault="00B50559">
      <w:pPr>
        <w:pStyle w:val="CBDNormalNumber"/>
        <w:numPr>
          <w:ilvl w:val="0"/>
          <w:numId w:val="18"/>
        </w:numPr>
        <w:ind w:firstLine="0"/>
        <w:rPr>
          <w:sz w:val="24"/>
          <w:szCs w:val="24"/>
        </w:rPr>
      </w:pPr>
      <w:r w:rsidRPr="007E2845">
        <w:rPr>
          <w:rFonts w:hint="eastAsia"/>
          <w:sz w:val="24"/>
          <w:szCs w:val="24"/>
          <w:lang w:val="zh-CN"/>
        </w:rPr>
        <w:t>许多意见提交者指出</w:t>
      </w:r>
      <w:r w:rsidRPr="007E2845">
        <w:rPr>
          <w:rFonts w:hint="eastAsia"/>
          <w:sz w:val="24"/>
          <w:szCs w:val="24"/>
        </w:rPr>
        <w:t>，</w:t>
      </w:r>
      <w:r w:rsidRPr="007E2845">
        <w:rPr>
          <w:rFonts w:hint="eastAsia"/>
          <w:sz w:val="24"/>
          <w:szCs w:val="24"/>
          <w:lang w:val="zh-CN"/>
        </w:rPr>
        <w:t>需要推进关于《名古屋议定书》第</w:t>
      </w:r>
      <w:r w:rsidRPr="007E2845">
        <w:rPr>
          <w:sz w:val="24"/>
          <w:szCs w:val="24"/>
        </w:rPr>
        <w:t>10</w:t>
      </w:r>
      <w:r w:rsidRPr="007E2845">
        <w:rPr>
          <w:rFonts w:hint="eastAsia"/>
          <w:sz w:val="24"/>
          <w:szCs w:val="24"/>
          <w:lang w:val="zh-CN"/>
        </w:rPr>
        <w:t>条</w:t>
      </w:r>
      <w:r w:rsidRPr="007E2845">
        <w:rPr>
          <w:rFonts w:hint="eastAsia"/>
          <w:sz w:val="24"/>
          <w:szCs w:val="24"/>
        </w:rPr>
        <w:t>（</w:t>
      </w:r>
      <w:r w:rsidRPr="007E2845">
        <w:rPr>
          <w:rFonts w:hint="eastAsia"/>
          <w:sz w:val="24"/>
          <w:szCs w:val="24"/>
          <w:lang w:val="zh-CN"/>
        </w:rPr>
        <w:t>全球多边惠益分享机制</w:t>
      </w:r>
      <w:r w:rsidRPr="007E2845">
        <w:rPr>
          <w:rFonts w:hint="eastAsia"/>
          <w:sz w:val="24"/>
          <w:szCs w:val="24"/>
        </w:rPr>
        <w:t>）</w:t>
      </w:r>
      <w:r w:rsidRPr="007E2845">
        <w:rPr>
          <w:rFonts w:hint="eastAsia"/>
          <w:sz w:val="24"/>
          <w:szCs w:val="24"/>
          <w:lang w:val="zh-CN"/>
        </w:rPr>
        <w:t>的讨论</w:t>
      </w:r>
      <w:r w:rsidRPr="007E2845">
        <w:rPr>
          <w:rFonts w:hint="eastAsia"/>
          <w:sz w:val="24"/>
          <w:szCs w:val="24"/>
        </w:rPr>
        <w:t>，</w:t>
      </w:r>
      <w:r w:rsidRPr="007E2845">
        <w:rPr>
          <w:rFonts w:hint="eastAsia"/>
          <w:sz w:val="24"/>
          <w:szCs w:val="24"/>
          <w:lang w:val="zh-CN"/>
        </w:rPr>
        <w:t>以解决公平和公正分享利用跨界遗传资源或无法获得事先知情同意的遗传资源所产生的惠益的问题。</w:t>
      </w:r>
    </w:p>
    <w:p w14:paraId="0C50018A" w14:textId="77777777" w:rsidR="00B50559" w:rsidRPr="007E2845" w:rsidRDefault="00B50559">
      <w:pPr>
        <w:pStyle w:val="CBDNormalNumber"/>
        <w:numPr>
          <w:ilvl w:val="0"/>
          <w:numId w:val="18"/>
        </w:numPr>
        <w:ind w:firstLine="0"/>
        <w:rPr>
          <w:sz w:val="24"/>
          <w:szCs w:val="24"/>
        </w:rPr>
      </w:pPr>
      <w:r w:rsidRPr="007E2845">
        <w:rPr>
          <w:rFonts w:hint="eastAsia"/>
          <w:sz w:val="24"/>
          <w:szCs w:val="24"/>
          <w:lang w:val="zh-CN"/>
        </w:rPr>
        <w:t>在这方面</w:t>
      </w:r>
      <w:r w:rsidRPr="007E2845">
        <w:rPr>
          <w:rFonts w:hint="eastAsia"/>
          <w:sz w:val="24"/>
          <w:szCs w:val="24"/>
        </w:rPr>
        <w:t>，</w:t>
      </w:r>
      <w:r w:rsidRPr="007E2845">
        <w:rPr>
          <w:rFonts w:hint="eastAsia"/>
          <w:sz w:val="24"/>
          <w:szCs w:val="24"/>
          <w:lang w:val="zh-CN"/>
        </w:rPr>
        <w:t>强调需要建立一种机制</w:t>
      </w:r>
      <w:r w:rsidRPr="007E2845">
        <w:rPr>
          <w:rFonts w:hint="eastAsia"/>
          <w:sz w:val="24"/>
          <w:szCs w:val="24"/>
        </w:rPr>
        <w:t>，</w:t>
      </w:r>
      <w:r w:rsidRPr="007E2845">
        <w:rPr>
          <w:rFonts w:hint="eastAsia"/>
          <w:sz w:val="24"/>
          <w:szCs w:val="24"/>
          <w:lang w:val="zh-CN"/>
        </w:rPr>
        <w:t>以补充双边遗传资源获取和惠益分享框架</w:t>
      </w:r>
      <w:r w:rsidRPr="007E2845">
        <w:rPr>
          <w:rFonts w:hint="eastAsia"/>
          <w:sz w:val="24"/>
          <w:szCs w:val="24"/>
        </w:rPr>
        <w:t>，</w:t>
      </w:r>
      <w:r w:rsidRPr="007E2845">
        <w:rPr>
          <w:rFonts w:hint="eastAsia"/>
          <w:sz w:val="24"/>
          <w:szCs w:val="24"/>
          <w:lang w:val="zh-CN"/>
        </w:rPr>
        <w:t>特别是在涉及跨界遗传资源、遗传资源数字序列信息和相关传统知识的情况下。</w:t>
      </w:r>
      <w:r w:rsidRPr="007E2845">
        <w:rPr>
          <w:sz w:val="24"/>
          <w:szCs w:val="24"/>
        </w:rPr>
        <w:t xml:space="preserve"> </w:t>
      </w:r>
    </w:p>
    <w:p w14:paraId="7457C9C5" w14:textId="77777777" w:rsidR="00B50559" w:rsidRPr="007E2845" w:rsidRDefault="00B50559">
      <w:pPr>
        <w:pStyle w:val="CBDNormalNumber"/>
        <w:numPr>
          <w:ilvl w:val="0"/>
          <w:numId w:val="18"/>
        </w:numPr>
        <w:ind w:firstLine="0"/>
        <w:rPr>
          <w:sz w:val="24"/>
          <w:szCs w:val="24"/>
        </w:rPr>
      </w:pPr>
      <w:r w:rsidRPr="007E2845">
        <w:rPr>
          <w:rFonts w:hint="eastAsia"/>
          <w:sz w:val="24"/>
          <w:szCs w:val="24"/>
          <w:lang w:val="zh-CN"/>
        </w:rPr>
        <w:t>意见提交方还强调</w:t>
      </w:r>
      <w:r w:rsidRPr="007E2845">
        <w:rPr>
          <w:rFonts w:hint="eastAsia"/>
          <w:sz w:val="24"/>
          <w:szCs w:val="24"/>
        </w:rPr>
        <w:t>，</w:t>
      </w:r>
      <w:r w:rsidRPr="007E2845">
        <w:rPr>
          <w:rFonts w:hint="eastAsia"/>
          <w:sz w:val="24"/>
          <w:szCs w:val="24"/>
          <w:lang w:val="zh-CN"/>
        </w:rPr>
        <w:t>应根据《名古屋议定书》第</w:t>
      </w:r>
      <w:r w:rsidRPr="007E2845">
        <w:rPr>
          <w:sz w:val="24"/>
          <w:szCs w:val="24"/>
        </w:rPr>
        <w:t>4</w:t>
      </w:r>
      <w:r w:rsidRPr="007E2845">
        <w:rPr>
          <w:rFonts w:hint="eastAsia"/>
          <w:sz w:val="24"/>
          <w:szCs w:val="24"/>
          <w:lang w:val="zh-CN"/>
        </w:rPr>
        <w:t>条第</w:t>
      </w:r>
      <w:r w:rsidRPr="007E2845">
        <w:rPr>
          <w:sz w:val="24"/>
          <w:szCs w:val="24"/>
        </w:rPr>
        <w:t>4</w:t>
      </w:r>
      <w:r w:rsidRPr="007E2845">
        <w:rPr>
          <w:rFonts w:hint="eastAsia"/>
          <w:sz w:val="24"/>
          <w:szCs w:val="24"/>
          <w:lang w:val="zh-CN"/>
        </w:rPr>
        <w:t>款规定的从遗传资源获取和惠益分享专门性国际文书吸取的经验教训实施第</w:t>
      </w:r>
      <w:r w:rsidRPr="007E2845">
        <w:rPr>
          <w:sz w:val="24"/>
          <w:szCs w:val="24"/>
        </w:rPr>
        <w:t>10</w:t>
      </w:r>
      <w:r w:rsidRPr="007E2845">
        <w:rPr>
          <w:rFonts w:hint="eastAsia"/>
          <w:sz w:val="24"/>
          <w:szCs w:val="24"/>
          <w:lang w:val="zh-CN"/>
        </w:rPr>
        <w:t>条</w:t>
      </w:r>
      <w:r w:rsidRPr="007E2845">
        <w:rPr>
          <w:rFonts w:hint="eastAsia"/>
          <w:sz w:val="24"/>
          <w:szCs w:val="24"/>
        </w:rPr>
        <w:t>，</w:t>
      </w:r>
      <w:r w:rsidRPr="007E2845">
        <w:rPr>
          <w:rFonts w:hint="eastAsia"/>
          <w:sz w:val="24"/>
          <w:szCs w:val="24"/>
          <w:lang w:val="zh-CN"/>
        </w:rPr>
        <w:t>同时提醒不要拖延或削弱其宗旨。提出的建议包括包容性治理、标准化的惠益分享模式、可追溯工具以及对土著人民和地方社区的保障措施。</w:t>
      </w:r>
      <w:r w:rsidRPr="007E2845">
        <w:rPr>
          <w:sz w:val="24"/>
          <w:szCs w:val="24"/>
        </w:rPr>
        <w:t xml:space="preserve"> </w:t>
      </w:r>
    </w:p>
    <w:p w14:paraId="66E48512" w14:textId="77777777" w:rsidR="00B50559" w:rsidRPr="007E2845" w:rsidRDefault="00B50559">
      <w:pPr>
        <w:pStyle w:val="CBDNormalNumber"/>
        <w:numPr>
          <w:ilvl w:val="0"/>
          <w:numId w:val="18"/>
        </w:numPr>
        <w:ind w:firstLine="0"/>
        <w:rPr>
          <w:sz w:val="24"/>
          <w:szCs w:val="24"/>
        </w:rPr>
      </w:pPr>
      <w:r w:rsidRPr="007E2845">
        <w:rPr>
          <w:rFonts w:hint="eastAsia"/>
          <w:sz w:val="24"/>
          <w:szCs w:val="24"/>
          <w:lang w:val="zh-CN"/>
        </w:rPr>
        <w:lastRenderedPageBreak/>
        <w:t>许多意见提交方指出</w:t>
      </w:r>
      <w:r w:rsidRPr="007E2845">
        <w:rPr>
          <w:rFonts w:hint="eastAsia"/>
          <w:sz w:val="24"/>
          <w:szCs w:val="24"/>
        </w:rPr>
        <w:t>，</w:t>
      </w:r>
      <w:r w:rsidRPr="007E2845">
        <w:rPr>
          <w:rFonts w:hint="eastAsia"/>
          <w:sz w:val="24"/>
          <w:szCs w:val="24"/>
          <w:lang w:val="zh-CN"/>
        </w:rPr>
        <w:t>《名古屋议定书》第</w:t>
      </w:r>
      <w:r w:rsidRPr="007E2845">
        <w:rPr>
          <w:sz w:val="24"/>
          <w:szCs w:val="24"/>
        </w:rPr>
        <w:t>10</w:t>
      </w:r>
      <w:r w:rsidRPr="007E2845">
        <w:rPr>
          <w:rFonts w:hint="eastAsia"/>
          <w:sz w:val="24"/>
          <w:szCs w:val="24"/>
          <w:lang w:val="zh-CN"/>
        </w:rPr>
        <w:t>条对于确保不断发展的遗传资源获取和惠益分享领域的公平性、法律肯定性和一致性至关重要</w:t>
      </w:r>
      <w:r w:rsidRPr="007E2845">
        <w:rPr>
          <w:rFonts w:hint="eastAsia"/>
          <w:sz w:val="24"/>
          <w:szCs w:val="24"/>
        </w:rPr>
        <w:t>，</w:t>
      </w:r>
      <w:r w:rsidRPr="007E2845">
        <w:rPr>
          <w:rFonts w:hint="eastAsia"/>
          <w:sz w:val="24"/>
          <w:szCs w:val="24"/>
          <w:lang w:val="zh-CN"/>
        </w:rPr>
        <w:t>因此</w:t>
      </w:r>
      <w:r w:rsidRPr="007E2845">
        <w:rPr>
          <w:rFonts w:hint="eastAsia"/>
          <w:sz w:val="24"/>
          <w:szCs w:val="24"/>
        </w:rPr>
        <w:t>，</w:t>
      </w:r>
      <w:r w:rsidRPr="007E2845">
        <w:rPr>
          <w:rFonts w:hint="eastAsia"/>
          <w:sz w:val="24"/>
          <w:szCs w:val="24"/>
          <w:lang w:val="zh-CN"/>
        </w:rPr>
        <w:t>它们建议设立一个探讨其实施方式的专门程序。</w:t>
      </w:r>
    </w:p>
    <w:p w14:paraId="67D20324" w14:textId="77777777" w:rsidR="00B50559" w:rsidRPr="007E2845" w:rsidRDefault="00B50559">
      <w:pPr>
        <w:pStyle w:val="CBDNormalNumber"/>
        <w:numPr>
          <w:ilvl w:val="0"/>
          <w:numId w:val="18"/>
        </w:numPr>
        <w:ind w:firstLine="0"/>
        <w:rPr>
          <w:sz w:val="24"/>
          <w:szCs w:val="24"/>
        </w:rPr>
      </w:pPr>
      <w:r w:rsidRPr="007E2845">
        <w:rPr>
          <w:rFonts w:hint="eastAsia"/>
          <w:sz w:val="24"/>
          <w:szCs w:val="24"/>
          <w:lang w:val="zh-CN"/>
        </w:rPr>
        <w:t>许多意见提交方指出</w:t>
      </w:r>
      <w:r w:rsidRPr="007E2845">
        <w:rPr>
          <w:rFonts w:hint="eastAsia"/>
          <w:sz w:val="24"/>
          <w:szCs w:val="24"/>
        </w:rPr>
        <w:t>，</w:t>
      </w:r>
      <w:r w:rsidRPr="007E2845">
        <w:rPr>
          <w:rFonts w:hint="eastAsia"/>
          <w:sz w:val="24"/>
          <w:szCs w:val="24"/>
          <w:lang w:val="zh-CN"/>
        </w:rPr>
        <w:t>需要采取一种全面和包容性的方法来处理全球遗传资源获取和惠益分享治理问题</w:t>
      </w:r>
      <w:r w:rsidRPr="007E2845">
        <w:rPr>
          <w:rFonts w:hint="eastAsia"/>
          <w:sz w:val="24"/>
          <w:szCs w:val="24"/>
        </w:rPr>
        <w:t>，</w:t>
      </w:r>
      <w:r w:rsidRPr="007E2845">
        <w:rPr>
          <w:rFonts w:hint="eastAsia"/>
          <w:sz w:val="24"/>
          <w:szCs w:val="24"/>
          <w:lang w:val="zh-CN"/>
        </w:rPr>
        <w:t>该方法应整合技术发展、社区权利和法律保障措施。</w:t>
      </w:r>
    </w:p>
    <w:p w14:paraId="7ECF62BA" w14:textId="71E53986" w:rsidR="00B50559" w:rsidRPr="007E2845" w:rsidRDefault="00B50559">
      <w:pPr>
        <w:pStyle w:val="CBDNormalNumber"/>
        <w:numPr>
          <w:ilvl w:val="0"/>
          <w:numId w:val="18"/>
        </w:numPr>
        <w:ind w:firstLine="0"/>
        <w:rPr>
          <w:sz w:val="24"/>
          <w:szCs w:val="24"/>
        </w:rPr>
      </w:pPr>
      <w:r w:rsidRPr="007E2845">
        <w:rPr>
          <w:rFonts w:hint="eastAsia"/>
          <w:sz w:val="24"/>
          <w:szCs w:val="24"/>
          <w:lang w:val="zh-CN"/>
        </w:rPr>
        <w:t>总体而言</w:t>
      </w:r>
      <w:r w:rsidRPr="007E2845">
        <w:rPr>
          <w:rFonts w:hint="eastAsia"/>
          <w:sz w:val="24"/>
          <w:szCs w:val="24"/>
        </w:rPr>
        <w:t>，</w:t>
      </w:r>
      <w:r w:rsidRPr="007E2845">
        <w:rPr>
          <w:rFonts w:hint="eastAsia"/>
          <w:sz w:val="24"/>
          <w:szCs w:val="24"/>
          <w:lang w:val="zh-CN"/>
        </w:rPr>
        <w:t>意见提交方提出了对第</w:t>
      </w:r>
      <w:hyperlink r:id="rId18" w:history="1">
        <w:r w:rsidRPr="007E2845">
          <w:rPr>
            <w:rStyle w:val="Hyperlink"/>
            <w:sz w:val="24"/>
            <w:szCs w:val="24"/>
          </w:rPr>
          <w:t>NP-5/8</w:t>
        </w:r>
      </w:hyperlink>
      <w:r w:rsidRPr="007E2845">
        <w:rPr>
          <w:rFonts w:hint="eastAsia"/>
          <w:sz w:val="24"/>
          <w:szCs w:val="24"/>
          <w:lang w:val="zh-CN"/>
        </w:rPr>
        <w:t>号决定和第</w:t>
      </w:r>
      <w:r w:rsidRPr="007E2845">
        <w:rPr>
          <w:sz w:val="24"/>
          <w:szCs w:val="24"/>
        </w:rPr>
        <w:t xml:space="preserve"> </w:t>
      </w:r>
      <w:hyperlink r:id="rId19" w:history="1">
        <w:r w:rsidRPr="007E2845">
          <w:rPr>
            <w:rStyle w:val="Hyperlink"/>
            <w:sz w:val="24"/>
            <w:szCs w:val="24"/>
          </w:rPr>
          <w:t>3/16</w:t>
        </w:r>
      </w:hyperlink>
      <w:r w:rsidRPr="007E2845">
        <w:rPr>
          <w:rFonts w:hint="eastAsia"/>
          <w:sz w:val="24"/>
          <w:szCs w:val="24"/>
          <w:lang w:val="zh-CN"/>
        </w:rPr>
        <w:t>号建议以及遗传资源获取和惠益分享专门性文书在解决特定部门需求方面具有日益增长的相关性的广泛看法。</w:t>
      </w:r>
    </w:p>
    <w:p w14:paraId="750B73ED" w14:textId="79249145" w:rsidR="00B50559" w:rsidRPr="007E2845" w:rsidRDefault="00B50559">
      <w:pPr>
        <w:pStyle w:val="CBDNormalNumber"/>
        <w:numPr>
          <w:ilvl w:val="0"/>
          <w:numId w:val="18"/>
        </w:numPr>
        <w:ind w:firstLine="0"/>
        <w:rPr>
          <w:sz w:val="24"/>
          <w:szCs w:val="24"/>
        </w:rPr>
      </w:pPr>
      <w:r w:rsidRPr="007E2845">
        <w:rPr>
          <w:rFonts w:hint="eastAsia"/>
          <w:sz w:val="24"/>
          <w:szCs w:val="24"/>
          <w:lang w:val="zh-CN"/>
        </w:rPr>
        <w:t>最后</w:t>
      </w:r>
      <w:r w:rsidRPr="007E2845">
        <w:rPr>
          <w:rFonts w:hint="eastAsia"/>
          <w:sz w:val="24"/>
          <w:szCs w:val="24"/>
        </w:rPr>
        <w:t>，</w:t>
      </w:r>
      <w:r w:rsidRPr="007E2845">
        <w:rPr>
          <w:rFonts w:hint="eastAsia"/>
          <w:sz w:val="24"/>
          <w:szCs w:val="24"/>
          <w:lang w:val="zh-CN"/>
        </w:rPr>
        <w:t>许多意见提交方</w:t>
      </w:r>
      <w:r w:rsidR="00155C59">
        <w:rPr>
          <w:rFonts w:hint="eastAsia"/>
          <w:sz w:val="24"/>
          <w:szCs w:val="24"/>
          <w:lang w:val="zh-CN"/>
        </w:rPr>
        <w:t>回顾</w:t>
      </w:r>
      <w:r w:rsidRPr="007E2845">
        <w:rPr>
          <w:rFonts w:hint="eastAsia"/>
          <w:sz w:val="24"/>
          <w:szCs w:val="24"/>
        </w:rPr>
        <w:t>，</w:t>
      </w:r>
      <w:r w:rsidRPr="007E2845">
        <w:rPr>
          <w:rFonts w:hint="eastAsia"/>
          <w:sz w:val="24"/>
          <w:szCs w:val="24"/>
          <w:lang w:val="zh-CN"/>
        </w:rPr>
        <w:t>在作为名古屋议定书缔约方会议的缔约方大会第四次和第五次会议审议根据《名古屋议定书》第</w:t>
      </w:r>
      <w:r w:rsidRPr="007E2845">
        <w:rPr>
          <w:sz w:val="24"/>
          <w:szCs w:val="24"/>
        </w:rPr>
        <w:t>4</w:t>
      </w:r>
      <w:r w:rsidRPr="007E2845">
        <w:rPr>
          <w:rFonts w:hint="eastAsia"/>
          <w:sz w:val="24"/>
          <w:szCs w:val="24"/>
          <w:lang w:val="zh-CN"/>
        </w:rPr>
        <w:t>条第</w:t>
      </w:r>
      <w:r w:rsidRPr="007E2845">
        <w:rPr>
          <w:sz w:val="24"/>
          <w:szCs w:val="24"/>
        </w:rPr>
        <w:t>4</w:t>
      </w:r>
      <w:r w:rsidRPr="007E2845">
        <w:rPr>
          <w:rFonts w:hint="eastAsia"/>
          <w:sz w:val="24"/>
          <w:szCs w:val="24"/>
          <w:lang w:val="zh-CN"/>
        </w:rPr>
        <w:t>款认可遗传资源获取和惠益分享专门性国际文书问题时没有达成共识</w:t>
      </w:r>
      <w:r w:rsidRPr="007E2845">
        <w:rPr>
          <w:rFonts w:hint="eastAsia"/>
          <w:sz w:val="24"/>
          <w:szCs w:val="24"/>
        </w:rPr>
        <w:t>，</w:t>
      </w:r>
      <w:r w:rsidRPr="007E2845">
        <w:rPr>
          <w:rFonts w:hint="eastAsia"/>
          <w:sz w:val="24"/>
          <w:szCs w:val="24"/>
          <w:lang w:val="zh-CN"/>
        </w:rPr>
        <w:t>因此</w:t>
      </w:r>
      <w:r w:rsidRPr="007E2845">
        <w:rPr>
          <w:rFonts w:hint="eastAsia"/>
          <w:sz w:val="24"/>
          <w:szCs w:val="24"/>
        </w:rPr>
        <w:t>，</w:t>
      </w:r>
      <w:r w:rsidRPr="007E2845">
        <w:rPr>
          <w:rFonts w:hint="eastAsia"/>
          <w:sz w:val="24"/>
          <w:szCs w:val="24"/>
          <w:lang w:val="zh-CN"/>
        </w:rPr>
        <w:t>它们支持设立一个专门进程来推进关于此事的讨论。</w:t>
      </w:r>
    </w:p>
    <w:p w14:paraId="536B3CC3" w14:textId="77777777" w:rsidR="00B50559" w:rsidRPr="007E2845" w:rsidRDefault="00B50559">
      <w:pPr>
        <w:pStyle w:val="CBDH1"/>
        <w:rPr>
          <w:szCs w:val="24"/>
        </w:rPr>
      </w:pPr>
      <w:r w:rsidRPr="007E2845">
        <w:rPr>
          <w:rFonts w:hint="eastAsia"/>
          <w:szCs w:val="24"/>
          <w:lang w:val="zh-CN"/>
        </w:rPr>
        <w:t>五</w:t>
      </w:r>
      <w:r w:rsidRPr="007E2845">
        <w:rPr>
          <w:szCs w:val="24"/>
          <w:lang w:val="zh-CN"/>
        </w:rPr>
        <w:t>.</w:t>
      </w:r>
      <w:r w:rsidRPr="007E2845">
        <w:rPr>
          <w:szCs w:val="24"/>
        </w:rPr>
        <w:tab/>
      </w:r>
      <w:r w:rsidRPr="007E2845">
        <w:rPr>
          <w:rFonts w:hint="eastAsia"/>
          <w:szCs w:val="24"/>
          <w:lang w:val="zh-CN"/>
        </w:rPr>
        <w:t>建议</w:t>
      </w:r>
    </w:p>
    <w:p w14:paraId="5406F3CF" w14:textId="745AFF97" w:rsidR="00B50559" w:rsidRPr="007E2845" w:rsidRDefault="00E4425E">
      <w:pPr>
        <w:pStyle w:val="CBDNormalNumber"/>
        <w:numPr>
          <w:ilvl w:val="0"/>
          <w:numId w:val="18"/>
        </w:numPr>
        <w:ind w:firstLine="0"/>
        <w:rPr>
          <w:sz w:val="24"/>
          <w:szCs w:val="24"/>
        </w:rPr>
      </w:pPr>
      <w:r>
        <w:rPr>
          <w:rFonts w:hint="eastAsia"/>
          <w:sz w:val="24"/>
          <w:szCs w:val="24"/>
          <w:lang w:val="zh-CN"/>
        </w:rPr>
        <w:t>谨提议</w:t>
      </w:r>
      <w:r w:rsidR="00B50559" w:rsidRPr="007E2845">
        <w:rPr>
          <w:rFonts w:hint="eastAsia"/>
          <w:sz w:val="24"/>
          <w:szCs w:val="24"/>
          <w:lang w:val="zh-CN"/>
        </w:rPr>
        <w:t>执行问题附属机构通过一项内容大致如下的建议</w:t>
      </w:r>
      <w:r w:rsidR="00B50559" w:rsidRPr="007E2845">
        <w:rPr>
          <w:rFonts w:hint="eastAsia"/>
          <w:sz w:val="24"/>
          <w:szCs w:val="24"/>
        </w:rPr>
        <w:t>：</w:t>
      </w:r>
    </w:p>
    <w:p w14:paraId="29C4266A" w14:textId="40A9126E" w:rsidR="00B50559" w:rsidRPr="0005575F" w:rsidRDefault="00B50559">
      <w:pPr>
        <w:pStyle w:val="CBDNormalNumber"/>
        <w:numPr>
          <w:ilvl w:val="0"/>
          <w:numId w:val="0"/>
        </w:numPr>
        <w:ind w:left="567" w:firstLine="567"/>
        <w:rPr>
          <w:rFonts w:ascii="KaiTi" w:eastAsia="KaiTi" w:hAnsi="KaiTi"/>
          <w:i/>
          <w:sz w:val="24"/>
          <w:szCs w:val="24"/>
        </w:rPr>
      </w:pPr>
      <w:r w:rsidRPr="0005575F">
        <w:rPr>
          <w:rFonts w:ascii="KaiTi" w:eastAsia="KaiTi" w:hAnsi="KaiTi" w:hint="eastAsia"/>
          <w:sz w:val="24"/>
          <w:szCs w:val="24"/>
          <w:lang w:val="zh-CN"/>
        </w:rPr>
        <w:t>执行问题附属机构</w:t>
      </w:r>
      <w:r w:rsidR="00E4425E">
        <w:rPr>
          <w:rFonts w:ascii="KaiTi" w:eastAsia="KaiTi" w:hAnsi="KaiTi" w:hint="eastAsia"/>
          <w:sz w:val="24"/>
          <w:szCs w:val="24"/>
          <w:lang w:val="zh-CN"/>
        </w:rPr>
        <w:t>，</w:t>
      </w:r>
    </w:p>
    <w:p w14:paraId="65027EA8" w14:textId="1B8A8C40" w:rsidR="00B50559" w:rsidRPr="007E2845" w:rsidRDefault="00B50559">
      <w:pPr>
        <w:pStyle w:val="CBDNormalNumber"/>
        <w:numPr>
          <w:ilvl w:val="0"/>
          <w:numId w:val="0"/>
        </w:numPr>
        <w:ind w:left="567" w:firstLine="567"/>
        <w:rPr>
          <w:i/>
          <w:sz w:val="24"/>
          <w:szCs w:val="24"/>
        </w:rPr>
      </w:pPr>
      <w:r w:rsidRPr="0005575F">
        <w:rPr>
          <w:rFonts w:ascii="KaiTi" w:eastAsia="KaiTi" w:hAnsi="KaiTi" w:hint="eastAsia"/>
          <w:sz w:val="24"/>
          <w:szCs w:val="24"/>
          <w:lang w:val="zh-CN"/>
        </w:rPr>
        <w:t>建议</w:t>
      </w:r>
      <w:r w:rsidRPr="007E2845">
        <w:rPr>
          <w:rFonts w:hint="eastAsia"/>
          <w:sz w:val="24"/>
          <w:szCs w:val="24"/>
          <w:lang w:val="zh-CN"/>
        </w:rPr>
        <w:t>作为关于获取遗传资源和公正和公平分享其利用所产生惠益的名古屋议定书缔约方会议的缔约方大会第六次会议通过一项内容大致如下的决定</w:t>
      </w:r>
      <w:r w:rsidRPr="007E2845">
        <w:rPr>
          <w:rFonts w:hint="eastAsia"/>
          <w:sz w:val="24"/>
          <w:szCs w:val="24"/>
        </w:rPr>
        <w:t>：</w:t>
      </w:r>
    </w:p>
    <w:p w14:paraId="2BC1DE2E" w14:textId="77777777" w:rsidR="00B50559" w:rsidRPr="007E2845" w:rsidRDefault="00B50559">
      <w:pPr>
        <w:pStyle w:val="CBDDesicionText"/>
        <w:tabs>
          <w:tab w:val="clear" w:pos="567"/>
        </w:tabs>
        <w:ind w:left="1134"/>
        <w:rPr>
          <w:i/>
          <w:sz w:val="24"/>
          <w:szCs w:val="24"/>
        </w:rPr>
      </w:pPr>
      <w:bookmarkStart w:id="2" w:name="_Hlk216706052"/>
      <w:r w:rsidRPr="0005575F">
        <w:rPr>
          <w:rFonts w:ascii="KaiTi" w:eastAsia="KaiTi" w:hAnsi="KaiTi" w:hint="eastAsia"/>
          <w:sz w:val="24"/>
          <w:szCs w:val="24"/>
          <w:lang w:val="zh-CN"/>
        </w:rPr>
        <w:t>作为名古屋议定书缔约方会议的缔约方大会</w:t>
      </w:r>
      <w:r w:rsidRPr="007E2845">
        <w:rPr>
          <w:rFonts w:hint="eastAsia"/>
          <w:sz w:val="24"/>
          <w:szCs w:val="24"/>
        </w:rPr>
        <w:t>，</w:t>
      </w:r>
    </w:p>
    <w:bookmarkEnd w:id="2"/>
    <w:p w14:paraId="47755ACF" w14:textId="078E7CF3" w:rsidR="00B50559" w:rsidRPr="007E2845" w:rsidRDefault="00B50559">
      <w:pPr>
        <w:pStyle w:val="CBDDesicionText"/>
        <w:tabs>
          <w:tab w:val="clear" w:pos="567"/>
        </w:tabs>
        <w:ind w:left="1134"/>
        <w:rPr>
          <w:sz w:val="24"/>
          <w:szCs w:val="24"/>
        </w:rPr>
      </w:pPr>
      <w:r w:rsidRPr="0005575F">
        <w:rPr>
          <w:rFonts w:ascii="KaiTi" w:eastAsia="KaiTi" w:hAnsi="KaiTi" w:hint="eastAsia"/>
          <w:sz w:val="24"/>
          <w:szCs w:val="24"/>
          <w:lang w:val="zh-CN"/>
        </w:rPr>
        <w:t>回顾</w:t>
      </w:r>
      <w:r w:rsidRPr="007E2845">
        <w:rPr>
          <w:rFonts w:hint="eastAsia"/>
          <w:sz w:val="24"/>
          <w:szCs w:val="24"/>
          <w:lang w:val="zh-CN"/>
        </w:rPr>
        <w:t>《关于获取遗传资源和公正和公平分享其利用所产生惠益的名古屋议定书》</w:t>
      </w:r>
      <w:r w:rsidRPr="007E2845">
        <w:rPr>
          <w:rStyle w:val="FootnoteReference"/>
          <w:sz w:val="24"/>
          <w:szCs w:val="24"/>
          <w:lang w:val="zh-CN"/>
        </w:rPr>
        <w:footnoteReference w:id="6"/>
      </w:r>
      <w:r w:rsidR="006C1C81" w:rsidRPr="007E2845">
        <w:rPr>
          <w:rFonts w:hint="eastAsia"/>
          <w:sz w:val="24"/>
          <w:szCs w:val="24"/>
          <w:lang w:val="zh-CN"/>
        </w:rPr>
        <w:t>第</w:t>
      </w:r>
      <w:r w:rsidR="006C1C81" w:rsidRPr="007E2845">
        <w:rPr>
          <w:sz w:val="24"/>
          <w:szCs w:val="24"/>
        </w:rPr>
        <w:t>4</w:t>
      </w:r>
      <w:r w:rsidR="006C1C81" w:rsidRPr="007E2845">
        <w:rPr>
          <w:rFonts w:hint="eastAsia"/>
          <w:sz w:val="24"/>
          <w:szCs w:val="24"/>
          <w:lang w:val="zh-CN"/>
        </w:rPr>
        <w:t>条第</w:t>
      </w:r>
      <w:r w:rsidR="006C1C81" w:rsidRPr="007E2845">
        <w:rPr>
          <w:sz w:val="24"/>
          <w:szCs w:val="24"/>
        </w:rPr>
        <w:t>4</w:t>
      </w:r>
      <w:r w:rsidR="006C1C81" w:rsidRPr="007E2845">
        <w:rPr>
          <w:rFonts w:hint="eastAsia"/>
          <w:sz w:val="24"/>
          <w:szCs w:val="24"/>
          <w:lang w:val="zh-CN"/>
        </w:rPr>
        <w:t>款</w:t>
      </w:r>
      <w:r w:rsidR="006C1C81" w:rsidRPr="007E2845">
        <w:rPr>
          <w:rFonts w:hint="eastAsia"/>
          <w:sz w:val="24"/>
          <w:szCs w:val="24"/>
        </w:rPr>
        <w:t>，</w:t>
      </w:r>
    </w:p>
    <w:p w14:paraId="7C2997B4" w14:textId="77777777" w:rsidR="00B50559" w:rsidRPr="007E2845" w:rsidRDefault="00B50559">
      <w:pPr>
        <w:pStyle w:val="CBDDesicionText"/>
        <w:tabs>
          <w:tab w:val="clear" w:pos="567"/>
        </w:tabs>
        <w:ind w:left="1134"/>
        <w:rPr>
          <w:sz w:val="24"/>
          <w:szCs w:val="24"/>
        </w:rPr>
      </w:pPr>
      <w:r w:rsidRPr="0005575F">
        <w:rPr>
          <w:rFonts w:ascii="KaiTi" w:eastAsia="KaiTi" w:hAnsi="KaiTi" w:hint="eastAsia"/>
          <w:sz w:val="24"/>
          <w:szCs w:val="24"/>
          <w:lang w:val="zh-CN"/>
        </w:rPr>
        <w:t>认识到</w:t>
      </w:r>
      <w:r w:rsidRPr="007E2845">
        <w:rPr>
          <w:rFonts w:hint="eastAsia"/>
          <w:sz w:val="24"/>
          <w:szCs w:val="24"/>
          <w:lang w:val="zh-CN"/>
        </w:rPr>
        <w:t>有必要加强实施《名古屋议定书》第</w:t>
      </w:r>
      <w:r w:rsidRPr="007E2845">
        <w:rPr>
          <w:sz w:val="24"/>
          <w:szCs w:val="24"/>
        </w:rPr>
        <w:t>4</w:t>
      </w:r>
      <w:r w:rsidRPr="007E2845">
        <w:rPr>
          <w:rFonts w:hint="eastAsia"/>
          <w:sz w:val="24"/>
          <w:szCs w:val="24"/>
          <w:lang w:val="zh-CN"/>
        </w:rPr>
        <w:t>条第</w:t>
      </w:r>
      <w:r w:rsidRPr="007E2845">
        <w:rPr>
          <w:sz w:val="24"/>
          <w:szCs w:val="24"/>
        </w:rPr>
        <w:t>4</w:t>
      </w:r>
      <w:r w:rsidRPr="007E2845">
        <w:rPr>
          <w:rFonts w:hint="eastAsia"/>
          <w:sz w:val="24"/>
          <w:szCs w:val="24"/>
          <w:lang w:val="zh-CN"/>
        </w:rPr>
        <w:t>款的法律明确性、公平性和一致性</w:t>
      </w:r>
      <w:r w:rsidRPr="007E2845">
        <w:rPr>
          <w:rFonts w:hint="eastAsia"/>
          <w:sz w:val="24"/>
          <w:szCs w:val="24"/>
        </w:rPr>
        <w:t>，</w:t>
      </w:r>
      <w:r w:rsidRPr="007E2845">
        <w:rPr>
          <w:rFonts w:hint="eastAsia"/>
          <w:sz w:val="24"/>
          <w:szCs w:val="24"/>
          <w:lang w:val="zh-CN"/>
        </w:rPr>
        <w:t>并避免遗传资源获取和惠益分享制度之间出现重复和碎片化</w:t>
      </w:r>
      <w:r w:rsidRPr="007E2845">
        <w:rPr>
          <w:rFonts w:hint="eastAsia"/>
          <w:sz w:val="24"/>
          <w:szCs w:val="24"/>
        </w:rPr>
        <w:t>，</w:t>
      </w:r>
    </w:p>
    <w:p w14:paraId="62ADD2CB" w14:textId="457729E1" w:rsidR="00B50559" w:rsidRPr="007E2845" w:rsidRDefault="00B50559">
      <w:pPr>
        <w:pStyle w:val="CBDDesicionText"/>
        <w:tabs>
          <w:tab w:val="clear" w:pos="567"/>
        </w:tabs>
        <w:ind w:left="1134"/>
        <w:rPr>
          <w:sz w:val="24"/>
          <w:szCs w:val="24"/>
        </w:rPr>
      </w:pPr>
      <w:r w:rsidRPr="0005575F">
        <w:rPr>
          <w:rFonts w:ascii="KaiTi" w:eastAsia="KaiTi" w:hAnsi="KaiTi" w:hint="eastAsia"/>
          <w:sz w:val="24"/>
          <w:szCs w:val="24"/>
          <w:lang w:val="zh-CN"/>
        </w:rPr>
        <w:t>确认</w:t>
      </w:r>
      <w:r w:rsidRPr="007E2845">
        <w:rPr>
          <w:rFonts w:hint="eastAsia"/>
          <w:sz w:val="24"/>
          <w:szCs w:val="24"/>
          <w:lang w:val="zh-CN"/>
        </w:rPr>
        <w:t>根据《名古屋议定书》第</w:t>
      </w:r>
      <w:r w:rsidRPr="007E2845">
        <w:rPr>
          <w:sz w:val="24"/>
          <w:szCs w:val="24"/>
        </w:rPr>
        <w:t>4</w:t>
      </w:r>
      <w:r w:rsidRPr="007E2845">
        <w:rPr>
          <w:rFonts w:hint="eastAsia"/>
          <w:sz w:val="24"/>
          <w:szCs w:val="24"/>
          <w:lang w:val="zh-CN"/>
        </w:rPr>
        <w:t>条第</w:t>
      </w:r>
      <w:r w:rsidRPr="007E2845">
        <w:rPr>
          <w:sz w:val="24"/>
          <w:szCs w:val="24"/>
        </w:rPr>
        <w:t>3</w:t>
      </w:r>
      <w:r w:rsidRPr="007E2845">
        <w:rPr>
          <w:rFonts w:hint="eastAsia"/>
          <w:sz w:val="24"/>
          <w:szCs w:val="24"/>
          <w:lang w:val="zh-CN"/>
        </w:rPr>
        <w:t>款维护各项国际文书之间相互支持以及尊重缔约方主权的重要性</w:t>
      </w:r>
      <w:r w:rsidRPr="007E2845">
        <w:rPr>
          <w:rFonts w:hint="eastAsia"/>
          <w:sz w:val="24"/>
          <w:szCs w:val="24"/>
        </w:rPr>
        <w:t>，</w:t>
      </w:r>
      <w:r w:rsidR="006C1C81">
        <w:rPr>
          <w:rFonts w:hint="eastAsia"/>
          <w:sz w:val="24"/>
          <w:szCs w:val="24"/>
        </w:rPr>
        <w:t xml:space="preserve">  </w:t>
      </w:r>
    </w:p>
    <w:p w14:paraId="417CA012" w14:textId="77777777" w:rsidR="00B50559" w:rsidRPr="007E2845" w:rsidRDefault="00B50559">
      <w:pPr>
        <w:pStyle w:val="CBDDesicionText"/>
        <w:tabs>
          <w:tab w:val="clear" w:pos="567"/>
        </w:tabs>
        <w:ind w:left="1134"/>
        <w:rPr>
          <w:sz w:val="24"/>
          <w:szCs w:val="24"/>
        </w:rPr>
      </w:pPr>
      <w:r w:rsidRPr="0005575F">
        <w:rPr>
          <w:rFonts w:ascii="KaiTi" w:eastAsia="KaiTi" w:hAnsi="KaiTi" w:hint="eastAsia"/>
          <w:sz w:val="24"/>
          <w:szCs w:val="24"/>
          <w:lang w:val="zh-CN"/>
        </w:rPr>
        <w:t>回顾</w:t>
      </w:r>
      <w:r w:rsidRPr="007E2845">
        <w:rPr>
          <w:rFonts w:hint="eastAsia"/>
          <w:sz w:val="24"/>
          <w:szCs w:val="24"/>
          <w:lang w:val="zh-CN"/>
        </w:rPr>
        <w:t>《名古屋议定书》第</w:t>
      </w:r>
      <w:r w:rsidRPr="007E2845">
        <w:rPr>
          <w:sz w:val="24"/>
          <w:szCs w:val="24"/>
        </w:rPr>
        <w:t>10</w:t>
      </w:r>
      <w:r w:rsidRPr="007E2845">
        <w:rPr>
          <w:rFonts w:hint="eastAsia"/>
          <w:sz w:val="24"/>
          <w:szCs w:val="24"/>
          <w:lang w:val="zh-CN"/>
        </w:rPr>
        <w:t>条</w:t>
      </w:r>
      <w:r w:rsidRPr="007E2845">
        <w:rPr>
          <w:rFonts w:hint="eastAsia"/>
          <w:sz w:val="24"/>
          <w:szCs w:val="24"/>
        </w:rPr>
        <w:t>，</w:t>
      </w:r>
    </w:p>
    <w:p w14:paraId="6515A2B6" w14:textId="77777777" w:rsidR="00B50559" w:rsidRPr="007E2845" w:rsidRDefault="00B50559">
      <w:pPr>
        <w:pStyle w:val="CBDDesicionText"/>
        <w:tabs>
          <w:tab w:val="clear" w:pos="567"/>
        </w:tabs>
        <w:ind w:left="1134"/>
        <w:rPr>
          <w:sz w:val="24"/>
          <w:szCs w:val="24"/>
        </w:rPr>
      </w:pPr>
      <w:r w:rsidRPr="007E2845">
        <w:rPr>
          <w:sz w:val="24"/>
          <w:szCs w:val="24"/>
        </w:rPr>
        <w:t>1.</w:t>
      </w:r>
      <w:r w:rsidRPr="007E2845">
        <w:rPr>
          <w:i/>
          <w:sz w:val="24"/>
          <w:szCs w:val="24"/>
        </w:rPr>
        <w:tab/>
      </w:r>
      <w:r w:rsidRPr="0005575F">
        <w:rPr>
          <w:rFonts w:ascii="KaiTi" w:eastAsia="KaiTi" w:hAnsi="KaiTi" w:hint="eastAsia"/>
          <w:sz w:val="24"/>
          <w:szCs w:val="24"/>
          <w:lang w:val="zh-CN"/>
        </w:rPr>
        <w:t>表示注意到</w:t>
      </w:r>
      <w:r w:rsidRPr="007E2845">
        <w:rPr>
          <w:rFonts w:hint="eastAsia"/>
          <w:sz w:val="24"/>
          <w:szCs w:val="24"/>
          <w:lang w:val="zh-CN"/>
        </w:rPr>
        <w:t>根据</w:t>
      </w:r>
      <w:smartTag w:uri="urn:schemas-microsoft-com:office:smarttags" w:element="chsdate">
        <w:smartTagPr>
          <w:attr w:name="IsROCDate" w:val="False"/>
          <w:attr w:name="IsLunarDate" w:val="False"/>
          <w:attr w:name="Day" w:val="25"/>
          <w:attr w:name="Month" w:val="10"/>
          <w:attr w:name="Year" w:val="2024"/>
        </w:smartTagPr>
        <w:r w:rsidRPr="007E2845">
          <w:rPr>
            <w:sz w:val="24"/>
            <w:szCs w:val="24"/>
          </w:rPr>
          <w:t>2024</w:t>
        </w:r>
        <w:r w:rsidRPr="007E2845">
          <w:rPr>
            <w:rFonts w:hint="eastAsia"/>
            <w:sz w:val="24"/>
            <w:szCs w:val="24"/>
            <w:lang w:val="zh-CN"/>
          </w:rPr>
          <w:t>年</w:t>
        </w:r>
        <w:r w:rsidRPr="007E2845">
          <w:rPr>
            <w:sz w:val="24"/>
            <w:szCs w:val="24"/>
          </w:rPr>
          <w:t>10</w:t>
        </w:r>
        <w:r w:rsidRPr="007E2845">
          <w:rPr>
            <w:rFonts w:hint="eastAsia"/>
            <w:sz w:val="24"/>
            <w:szCs w:val="24"/>
            <w:lang w:val="zh-CN"/>
          </w:rPr>
          <w:t>月</w:t>
        </w:r>
        <w:r w:rsidRPr="007E2845">
          <w:rPr>
            <w:sz w:val="24"/>
            <w:szCs w:val="24"/>
          </w:rPr>
          <w:t>25</w:t>
        </w:r>
        <w:r w:rsidRPr="007E2845">
          <w:rPr>
            <w:rFonts w:hint="eastAsia"/>
            <w:sz w:val="24"/>
            <w:szCs w:val="24"/>
            <w:lang w:val="zh-CN"/>
          </w:rPr>
          <w:t>日</w:t>
        </w:r>
      </w:smartTag>
      <w:r w:rsidRPr="007E2845">
        <w:rPr>
          <w:rFonts w:hint="eastAsia"/>
          <w:sz w:val="24"/>
          <w:szCs w:val="24"/>
          <w:lang w:val="zh-CN"/>
        </w:rPr>
        <w:t>第</w:t>
      </w:r>
      <w:hyperlink r:id="rId20" w:history="1">
        <w:r w:rsidRPr="007E2845">
          <w:rPr>
            <w:rStyle w:val="Hyperlink"/>
            <w:sz w:val="24"/>
            <w:szCs w:val="24"/>
          </w:rPr>
          <w:t>NP-5/8</w:t>
        </w:r>
      </w:hyperlink>
      <w:r w:rsidRPr="007E2845">
        <w:rPr>
          <w:rFonts w:hint="eastAsia"/>
          <w:sz w:val="24"/>
          <w:szCs w:val="24"/>
          <w:lang w:val="zh-CN"/>
        </w:rPr>
        <w:t>号决定收到的载于</w:t>
      </w:r>
      <w:r w:rsidRPr="007E2845">
        <w:rPr>
          <w:sz w:val="24"/>
          <w:szCs w:val="24"/>
        </w:rPr>
        <w:t>CBD/SBI/6/8</w:t>
      </w:r>
      <w:r w:rsidRPr="007E2845">
        <w:rPr>
          <w:rFonts w:hint="eastAsia"/>
          <w:sz w:val="24"/>
          <w:szCs w:val="24"/>
          <w:lang w:val="zh-CN"/>
        </w:rPr>
        <w:t>号文件的意见汇总报告</w:t>
      </w:r>
      <w:r w:rsidRPr="007E2845">
        <w:rPr>
          <w:rFonts w:hint="eastAsia"/>
          <w:sz w:val="24"/>
          <w:szCs w:val="24"/>
        </w:rPr>
        <w:t>，</w:t>
      </w:r>
      <w:r w:rsidRPr="007E2845">
        <w:rPr>
          <w:rFonts w:hint="eastAsia"/>
          <w:sz w:val="24"/>
          <w:szCs w:val="24"/>
          <w:lang w:val="zh-CN"/>
        </w:rPr>
        <w:t>它为进一步审议根据《关于获取遗传资源和公正和公平分享其利用所产生惠益的名古屋议定书》第</w:t>
      </w:r>
      <w:r w:rsidRPr="007E2845">
        <w:rPr>
          <w:sz w:val="24"/>
          <w:szCs w:val="24"/>
        </w:rPr>
        <w:t>4</w:t>
      </w:r>
      <w:r w:rsidRPr="007E2845">
        <w:rPr>
          <w:rFonts w:hint="eastAsia"/>
          <w:sz w:val="24"/>
          <w:szCs w:val="24"/>
          <w:lang w:val="zh-CN"/>
        </w:rPr>
        <w:t>条第</w:t>
      </w:r>
      <w:r w:rsidRPr="007E2845">
        <w:rPr>
          <w:sz w:val="24"/>
          <w:szCs w:val="24"/>
        </w:rPr>
        <w:t>4</w:t>
      </w:r>
      <w:r w:rsidRPr="007E2845">
        <w:rPr>
          <w:rFonts w:hint="eastAsia"/>
          <w:sz w:val="24"/>
          <w:szCs w:val="24"/>
          <w:lang w:val="zh-CN"/>
        </w:rPr>
        <w:t>款认可遗传资源获取和惠益分享的专门性国际文书的进程提供了基础</w:t>
      </w:r>
      <w:r w:rsidRPr="007E2845">
        <w:rPr>
          <w:rFonts w:hint="eastAsia"/>
          <w:sz w:val="24"/>
          <w:szCs w:val="24"/>
        </w:rPr>
        <w:t>；</w:t>
      </w:r>
    </w:p>
    <w:p w14:paraId="0A100799" w14:textId="77777777" w:rsidR="00B50559" w:rsidRPr="007E2845" w:rsidRDefault="00B50559">
      <w:pPr>
        <w:pStyle w:val="CBDDesicionText"/>
        <w:tabs>
          <w:tab w:val="clear" w:pos="567"/>
        </w:tabs>
        <w:ind w:left="1134"/>
        <w:rPr>
          <w:sz w:val="24"/>
          <w:szCs w:val="24"/>
        </w:rPr>
      </w:pPr>
      <w:r w:rsidRPr="007E2845">
        <w:rPr>
          <w:sz w:val="24"/>
          <w:szCs w:val="24"/>
        </w:rPr>
        <w:t>2.</w:t>
      </w:r>
      <w:r w:rsidRPr="007E2845">
        <w:rPr>
          <w:i/>
          <w:sz w:val="24"/>
          <w:szCs w:val="24"/>
        </w:rPr>
        <w:tab/>
      </w:r>
      <w:r w:rsidRPr="0005575F">
        <w:rPr>
          <w:rFonts w:ascii="KaiTi" w:eastAsia="KaiTi" w:hAnsi="KaiTi" w:hint="eastAsia"/>
          <w:sz w:val="24"/>
          <w:szCs w:val="24"/>
          <w:lang w:val="zh-CN"/>
        </w:rPr>
        <w:t>表示注意到</w:t>
      </w:r>
      <w:r w:rsidRPr="007E2845">
        <w:rPr>
          <w:rFonts w:hint="eastAsia"/>
          <w:sz w:val="24"/>
          <w:szCs w:val="24"/>
          <w:lang w:val="zh-CN"/>
        </w:rPr>
        <w:t>本决定附件第一节提出的若干备选方案</w:t>
      </w:r>
      <w:r w:rsidRPr="007E2845">
        <w:rPr>
          <w:rFonts w:hint="eastAsia"/>
          <w:sz w:val="24"/>
          <w:szCs w:val="24"/>
        </w:rPr>
        <w:t>，</w:t>
      </w:r>
      <w:r w:rsidRPr="007E2845">
        <w:rPr>
          <w:rFonts w:hint="eastAsia"/>
          <w:sz w:val="24"/>
          <w:szCs w:val="24"/>
          <w:lang w:val="zh-CN"/>
        </w:rPr>
        <w:t>它们可作为处理根据《名古屋议定书》第</w:t>
      </w:r>
      <w:r w:rsidRPr="007E2845">
        <w:rPr>
          <w:sz w:val="24"/>
          <w:szCs w:val="24"/>
        </w:rPr>
        <w:t>4</w:t>
      </w:r>
      <w:r w:rsidRPr="007E2845">
        <w:rPr>
          <w:rFonts w:hint="eastAsia"/>
          <w:sz w:val="24"/>
          <w:szCs w:val="24"/>
          <w:lang w:val="zh-CN"/>
        </w:rPr>
        <w:t>条第</w:t>
      </w:r>
      <w:r w:rsidRPr="007E2845">
        <w:rPr>
          <w:sz w:val="24"/>
          <w:szCs w:val="24"/>
        </w:rPr>
        <w:t>4</w:t>
      </w:r>
      <w:r w:rsidRPr="007E2845">
        <w:rPr>
          <w:rFonts w:hint="eastAsia"/>
          <w:sz w:val="24"/>
          <w:szCs w:val="24"/>
          <w:lang w:val="zh-CN"/>
        </w:rPr>
        <w:t>款认可遗传资源获取和惠益分享专门性国际文书进程的可能途径</w:t>
      </w:r>
      <w:r w:rsidRPr="007E2845">
        <w:rPr>
          <w:rFonts w:hint="eastAsia"/>
          <w:sz w:val="24"/>
          <w:szCs w:val="24"/>
        </w:rPr>
        <w:t>；</w:t>
      </w:r>
    </w:p>
    <w:p w14:paraId="24002624" w14:textId="77777777" w:rsidR="00B50559" w:rsidRPr="007E2845" w:rsidRDefault="00B50559" w:rsidP="006C1C81">
      <w:pPr>
        <w:pStyle w:val="CBDDesicionText"/>
        <w:keepNext/>
        <w:tabs>
          <w:tab w:val="clear" w:pos="567"/>
        </w:tabs>
        <w:ind w:left="1138" w:firstLine="562"/>
        <w:rPr>
          <w:sz w:val="24"/>
          <w:szCs w:val="24"/>
        </w:rPr>
      </w:pPr>
      <w:r w:rsidRPr="007E2845">
        <w:rPr>
          <w:sz w:val="24"/>
          <w:szCs w:val="24"/>
        </w:rPr>
        <w:lastRenderedPageBreak/>
        <w:t>3.</w:t>
      </w:r>
      <w:r w:rsidRPr="007E2845">
        <w:rPr>
          <w:sz w:val="24"/>
          <w:szCs w:val="24"/>
        </w:rPr>
        <w:tab/>
      </w:r>
      <w:r w:rsidRPr="0005575F">
        <w:rPr>
          <w:rFonts w:ascii="KaiTi" w:eastAsia="KaiTi" w:hAnsi="KaiTi" w:hint="eastAsia"/>
          <w:sz w:val="24"/>
          <w:szCs w:val="24"/>
          <w:lang w:val="zh-CN"/>
        </w:rPr>
        <w:t>请</w:t>
      </w:r>
      <w:r w:rsidRPr="007E2845">
        <w:rPr>
          <w:rFonts w:hint="eastAsia"/>
          <w:sz w:val="24"/>
          <w:szCs w:val="24"/>
          <w:lang w:val="zh-CN"/>
        </w:rPr>
        <w:t>执行秘书</w:t>
      </w:r>
      <w:r w:rsidRPr="007E2845">
        <w:rPr>
          <w:rFonts w:hint="eastAsia"/>
          <w:sz w:val="24"/>
          <w:szCs w:val="24"/>
        </w:rPr>
        <w:t>：</w:t>
      </w:r>
    </w:p>
    <w:p w14:paraId="34C3F757" w14:textId="77777777" w:rsidR="00B50559" w:rsidRPr="007E2845" w:rsidRDefault="00B50559">
      <w:pPr>
        <w:pStyle w:val="CBDDesicionText"/>
        <w:tabs>
          <w:tab w:val="clear" w:pos="567"/>
        </w:tabs>
        <w:ind w:left="1134"/>
        <w:rPr>
          <w:sz w:val="24"/>
          <w:szCs w:val="24"/>
        </w:rPr>
      </w:pPr>
      <w:bookmarkStart w:id="3" w:name="_Hlk216423113"/>
      <w:r w:rsidRPr="007E2845">
        <w:rPr>
          <w:noProof/>
          <w:sz w:val="24"/>
          <w:szCs w:val="24"/>
        </w:rPr>
        <w:t>(a)</w:t>
      </w:r>
      <w:r w:rsidRPr="007E2845">
        <w:rPr>
          <w:sz w:val="24"/>
          <w:szCs w:val="24"/>
        </w:rPr>
        <w:tab/>
      </w:r>
      <w:r w:rsidRPr="007E2845">
        <w:rPr>
          <w:rFonts w:hint="eastAsia"/>
          <w:sz w:val="24"/>
          <w:szCs w:val="24"/>
          <w:lang w:val="zh-CN"/>
        </w:rPr>
        <w:t>邀请各缔约方就本决定附件第一节和第二节分别载列的关于认可遗传资源获取和惠益分享专门性国际文书的备选方案以及确定这些文书的地位或认可这些文书的指示性标准提交补充意见和建议</w:t>
      </w:r>
      <w:r w:rsidRPr="007E2845">
        <w:rPr>
          <w:rFonts w:hint="eastAsia"/>
          <w:sz w:val="24"/>
          <w:szCs w:val="24"/>
        </w:rPr>
        <w:t>，</w:t>
      </w:r>
      <w:r w:rsidRPr="007E2845">
        <w:rPr>
          <w:rFonts w:hint="eastAsia"/>
          <w:sz w:val="24"/>
          <w:szCs w:val="24"/>
          <w:lang w:val="zh-CN"/>
        </w:rPr>
        <w:t>并将提交的意见汇总提交执行问题附属机构第八次会议和作为名古屋议定书缔约方会议的缔约方大会第七次会议审议</w:t>
      </w:r>
      <w:r w:rsidRPr="007E2845">
        <w:rPr>
          <w:rFonts w:hint="eastAsia"/>
          <w:sz w:val="24"/>
          <w:szCs w:val="24"/>
        </w:rPr>
        <w:t>；</w:t>
      </w:r>
    </w:p>
    <w:bookmarkEnd w:id="3"/>
    <w:p w14:paraId="5CF48A4A" w14:textId="77777777" w:rsidR="00B50559" w:rsidRPr="007E2845" w:rsidRDefault="00B50559">
      <w:pPr>
        <w:pStyle w:val="CBDDesicionText"/>
        <w:tabs>
          <w:tab w:val="clear" w:pos="567"/>
        </w:tabs>
        <w:ind w:left="1134"/>
        <w:rPr>
          <w:sz w:val="24"/>
          <w:szCs w:val="24"/>
        </w:rPr>
      </w:pPr>
      <w:r w:rsidRPr="007E2845">
        <w:rPr>
          <w:noProof/>
          <w:sz w:val="24"/>
          <w:szCs w:val="24"/>
        </w:rPr>
        <w:t>(b)</w:t>
      </w:r>
      <w:r w:rsidRPr="007E2845">
        <w:rPr>
          <w:sz w:val="24"/>
          <w:szCs w:val="24"/>
        </w:rPr>
        <w:tab/>
      </w:r>
      <w:r w:rsidRPr="007E2845">
        <w:rPr>
          <w:rFonts w:hint="eastAsia"/>
          <w:sz w:val="24"/>
          <w:szCs w:val="24"/>
          <w:lang w:val="zh-CN"/>
        </w:rPr>
        <w:t>举办非正式技术网络研讨会</w:t>
      </w:r>
      <w:r w:rsidRPr="007E2845">
        <w:rPr>
          <w:rFonts w:hint="eastAsia"/>
          <w:sz w:val="24"/>
          <w:szCs w:val="24"/>
        </w:rPr>
        <w:t>，</w:t>
      </w:r>
      <w:r w:rsidRPr="007E2845">
        <w:rPr>
          <w:rFonts w:hint="eastAsia"/>
          <w:sz w:val="24"/>
          <w:szCs w:val="24"/>
          <w:lang w:val="zh-CN"/>
        </w:rPr>
        <w:t>旨在支持各缔约方在根据《名古屋议定书》第</w:t>
      </w:r>
      <w:r w:rsidRPr="007E2845">
        <w:rPr>
          <w:sz w:val="24"/>
          <w:szCs w:val="24"/>
        </w:rPr>
        <w:t>4</w:t>
      </w:r>
      <w:r w:rsidRPr="007E2845">
        <w:rPr>
          <w:rFonts w:hint="eastAsia"/>
          <w:sz w:val="24"/>
          <w:szCs w:val="24"/>
          <w:lang w:val="zh-CN"/>
        </w:rPr>
        <w:t>条第</w:t>
      </w:r>
      <w:r w:rsidRPr="007E2845">
        <w:rPr>
          <w:sz w:val="24"/>
          <w:szCs w:val="24"/>
        </w:rPr>
        <w:t>4</w:t>
      </w:r>
      <w:r w:rsidRPr="007E2845">
        <w:rPr>
          <w:rFonts w:hint="eastAsia"/>
          <w:sz w:val="24"/>
          <w:szCs w:val="24"/>
          <w:lang w:val="zh-CN"/>
        </w:rPr>
        <w:t>款认可遗传资源获取和惠益分享专门性国际文书的备选方案方面达成共识取得进展</w:t>
      </w:r>
      <w:r w:rsidRPr="007E2845">
        <w:rPr>
          <w:rFonts w:hint="eastAsia"/>
          <w:sz w:val="24"/>
          <w:szCs w:val="24"/>
        </w:rPr>
        <w:t>；</w:t>
      </w:r>
    </w:p>
    <w:p w14:paraId="2C6A0FE0" w14:textId="77777777" w:rsidR="00B50559" w:rsidRPr="007E2845" w:rsidRDefault="00B50559">
      <w:pPr>
        <w:pStyle w:val="CBDDesicionText"/>
        <w:tabs>
          <w:tab w:val="clear" w:pos="567"/>
        </w:tabs>
        <w:ind w:left="1134"/>
        <w:rPr>
          <w:sz w:val="24"/>
          <w:szCs w:val="24"/>
        </w:rPr>
      </w:pPr>
      <w:r w:rsidRPr="007E2845">
        <w:rPr>
          <w:noProof/>
          <w:sz w:val="24"/>
          <w:szCs w:val="24"/>
        </w:rPr>
        <w:t>(c)</w:t>
      </w:r>
      <w:r w:rsidRPr="007E2845">
        <w:rPr>
          <w:sz w:val="24"/>
          <w:szCs w:val="24"/>
        </w:rPr>
        <w:tab/>
      </w:r>
      <w:r w:rsidRPr="007E2845">
        <w:rPr>
          <w:rFonts w:hint="eastAsia"/>
          <w:sz w:val="24"/>
          <w:szCs w:val="24"/>
          <w:lang w:val="zh-CN"/>
        </w:rPr>
        <w:t>根据上文第</w:t>
      </w:r>
      <w:r w:rsidRPr="007E2845">
        <w:rPr>
          <w:sz w:val="24"/>
          <w:szCs w:val="24"/>
        </w:rPr>
        <w:t>3</w:t>
      </w:r>
      <w:r w:rsidRPr="007E2845">
        <w:rPr>
          <w:rFonts w:hint="eastAsia"/>
          <w:sz w:val="24"/>
          <w:szCs w:val="24"/>
        </w:rPr>
        <w:t>（</w:t>
      </w:r>
      <w:r w:rsidRPr="007E2845">
        <w:rPr>
          <w:sz w:val="24"/>
          <w:szCs w:val="24"/>
        </w:rPr>
        <w:t>a</w:t>
      </w:r>
      <w:r w:rsidRPr="007E2845">
        <w:rPr>
          <w:rFonts w:hint="eastAsia"/>
          <w:sz w:val="24"/>
          <w:szCs w:val="24"/>
        </w:rPr>
        <w:t>）</w:t>
      </w:r>
      <w:r w:rsidRPr="007E2845">
        <w:rPr>
          <w:rFonts w:hint="eastAsia"/>
          <w:sz w:val="24"/>
          <w:szCs w:val="24"/>
          <w:lang w:val="zh-CN"/>
        </w:rPr>
        <w:t>和</w:t>
      </w:r>
      <w:r w:rsidRPr="007E2845">
        <w:rPr>
          <w:sz w:val="24"/>
          <w:szCs w:val="24"/>
        </w:rPr>
        <w:t>3</w:t>
      </w:r>
      <w:r w:rsidRPr="007E2845">
        <w:rPr>
          <w:rFonts w:hint="eastAsia"/>
          <w:sz w:val="24"/>
          <w:szCs w:val="24"/>
        </w:rPr>
        <w:t>（</w:t>
      </w:r>
      <w:r w:rsidRPr="007E2845">
        <w:rPr>
          <w:sz w:val="24"/>
          <w:szCs w:val="24"/>
        </w:rPr>
        <w:t>b</w:t>
      </w:r>
      <w:r w:rsidRPr="007E2845">
        <w:rPr>
          <w:rFonts w:hint="eastAsia"/>
          <w:sz w:val="24"/>
          <w:szCs w:val="24"/>
        </w:rPr>
        <w:t>）</w:t>
      </w:r>
      <w:r w:rsidRPr="007E2845">
        <w:rPr>
          <w:rFonts w:hint="eastAsia"/>
          <w:sz w:val="24"/>
          <w:szCs w:val="24"/>
          <w:lang w:val="zh-CN"/>
        </w:rPr>
        <w:t>分段进行的活动取得的成果</w:t>
      </w:r>
      <w:r w:rsidRPr="007E2845">
        <w:rPr>
          <w:rFonts w:hint="eastAsia"/>
          <w:sz w:val="24"/>
          <w:szCs w:val="24"/>
        </w:rPr>
        <w:t>，</w:t>
      </w:r>
      <w:r w:rsidRPr="007E2845">
        <w:rPr>
          <w:rFonts w:hint="eastAsia"/>
          <w:sz w:val="24"/>
          <w:szCs w:val="24"/>
          <w:lang w:val="zh-CN"/>
        </w:rPr>
        <w:t>进一步完善根据《名古屋议定书》第</w:t>
      </w:r>
      <w:r w:rsidRPr="007E2845">
        <w:rPr>
          <w:sz w:val="24"/>
          <w:szCs w:val="24"/>
        </w:rPr>
        <w:t>4</w:t>
      </w:r>
      <w:r w:rsidRPr="007E2845">
        <w:rPr>
          <w:rFonts w:hint="eastAsia"/>
          <w:sz w:val="24"/>
          <w:szCs w:val="24"/>
          <w:lang w:val="zh-CN"/>
        </w:rPr>
        <w:t>条第</w:t>
      </w:r>
      <w:r w:rsidRPr="007E2845">
        <w:rPr>
          <w:sz w:val="24"/>
          <w:szCs w:val="24"/>
        </w:rPr>
        <w:t>4</w:t>
      </w:r>
      <w:r w:rsidRPr="007E2845">
        <w:rPr>
          <w:rFonts w:hint="eastAsia"/>
          <w:sz w:val="24"/>
          <w:szCs w:val="24"/>
          <w:lang w:val="zh-CN"/>
        </w:rPr>
        <w:t>款认可遗传资源获取和惠益分享专门性国际文书的备选方案</w:t>
      </w:r>
      <w:r w:rsidRPr="007E2845">
        <w:rPr>
          <w:rFonts w:hint="eastAsia"/>
          <w:sz w:val="24"/>
          <w:szCs w:val="24"/>
        </w:rPr>
        <w:t>；</w:t>
      </w:r>
    </w:p>
    <w:p w14:paraId="7BEFD9CA" w14:textId="03582F44" w:rsidR="00B50559" w:rsidRPr="007E2845" w:rsidRDefault="00B50559">
      <w:pPr>
        <w:pStyle w:val="CBDDesicionText"/>
        <w:tabs>
          <w:tab w:val="clear" w:pos="567"/>
        </w:tabs>
        <w:ind w:left="1134"/>
        <w:rPr>
          <w:sz w:val="24"/>
          <w:szCs w:val="24"/>
        </w:rPr>
      </w:pPr>
      <w:r w:rsidRPr="006C1C81">
        <w:rPr>
          <w:sz w:val="24"/>
          <w:szCs w:val="24"/>
        </w:rPr>
        <w:t>4.</w:t>
      </w:r>
      <w:r w:rsidRPr="006C1C81">
        <w:rPr>
          <w:i/>
          <w:sz w:val="24"/>
          <w:szCs w:val="24"/>
        </w:rPr>
        <w:tab/>
      </w:r>
      <w:r w:rsidR="006C1C81" w:rsidRPr="006C1C81">
        <w:rPr>
          <w:rFonts w:ascii="KaiTi" w:eastAsia="KaiTi" w:hAnsi="KaiTi"/>
          <w:sz w:val="24"/>
          <w:szCs w:val="24"/>
          <w:lang w:val="zh-CN"/>
        </w:rPr>
        <w:t>建议</w:t>
      </w:r>
      <w:r w:rsidR="006C1C81">
        <w:rPr>
          <w:rFonts w:ascii="SimSun" w:hAnsi="SimSun"/>
          <w:sz w:val="24"/>
          <w:szCs w:val="24"/>
          <w:lang w:val="zh-CN"/>
        </w:rPr>
        <w:t>将“与其他国际组织和国际文书的理事机构和秘书处的合作”列为作为名古屋议定书缔约方会议的缔约方大会未来会议议程的常设项目，以监测与《名古屋议定书》第4条第4款相关的进展并促进相互支持。</w:t>
      </w:r>
    </w:p>
    <w:p w14:paraId="3B831D48" w14:textId="77777777" w:rsidR="00B50559" w:rsidRPr="007E2845" w:rsidRDefault="00B50559">
      <w:pPr>
        <w:pStyle w:val="CBDDesicionAnnex"/>
        <w:ind w:left="1134"/>
        <w:rPr>
          <w:rFonts w:cs="Times New Roman"/>
          <w:bCs w:val="0"/>
          <w:szCs w:val="24"/>
        </w:rPr>
      </w:pPr>
      <w:r w:rsidRPr="007E2845">
        <w:rPr>
          <w:rFonts w:cs="Times New Roman" w:hint="eastAsia"/>
          <w:bCs w:val="0"/>
          <w:szCs w:val="24"/>
          <w:lang w:val="zh-CN"/>
        </w:rPr>
        <w:t>附件</w:t>
      </w:r>
    </w:p>
    <w:p w14:paraId="30073996" w14:textId="77777777" w:rsidR="00B50559" w:rsidRPr="007E2845" w:rsidRDefault="00B50559">
      <w:pPr>
        <w:pStyle w:val="CBDDesicionAnnex"/>
        <w:ind w:left="1134"/>
        <w:rPr>
          <w:rFonts w:cs="Times New Roman"/>
          <w:bCs w:val="0"/>
          <w:szCs w:val="24"/>
        </w:rPr>
      </w:pPr>
      <w:r w:rsidRPr="007E2845">
        <w:rPr>
          <w:rFonts w:cs="Times New Roman" w:hint="eastAsia"/>
          <w:bCs w:val="0"/>
          <w:szCs w:val="24"/>
          <w:lang w:val="zh-CN"/>
        </w:rPr>
        <w:t>关于确定或认可遗传资源获取和惠益分享专门性国际文书地位的拟议备选方案</w:t>
      </w:r>
    </w:p>
    <w:p w14:paraId="2038EE96" w14:textId="77777777" w:rsidR="00B50559" w:rsidRPr="007E2845" w:rsidRDefault="00B50559">
      <w:pPr>
        <w:pStyle w:val="CBDH2"/>
        <w:tabs>
          <w:tab w:val="clear" w:pos="567"/>
        </w:tabs>
        <w:ind w:left="1134"/>
        <w:jc w:val="left"/>
        <w:rPr>
          <w:szCs w:val="24"/>
        </w:rPr>
      </w:pPr>
      <w:r w:rsidRPr="007E2845">
        <w:rPr>
          <w:rFonts w:hint="eastAsia"/>
          <w:szCs w:val="24"/>
          <w:lang w:val="zh-CN"/>
        </w:rPr>
        <w:t>一</w:t>
      </w:r>
      <w:r w:rsidRPr="007E2845">
        <w:rPr>
          <w:szCs w:val="24"/>
          <w:lang w:val="en-US"/>
        </w:rPr>
        <w:t>.</w:t>
      </w:r>
      <w:r w:rsidRPr="007E2845">
        <w:rPr>
          <w:szCs w:val="24"/>
        </w:rPr>
        <w:tab/>
      </w:r>
      <w:r w:rsidRPr="007E2845">
        <w:rPr>
          <w:rFonts w:hint="eastAsia"/>
          <w:szCs w:val="24"/>
          <w:lang w:val="zh-CN"/>
        </w:rPr>
        <w:t>认可遗传资源获取和惠益分享专门性国际文书的备选方案</w:t>
      </w:r>
    </w:p>
    <w:p w14:paraId="4325A1B8" w14:textId="10441CC7" w:rsidR="00B50559" w:rsidRPr="007E2845" w:rsidRDefault="00B50559">
      <w:pPr>
        <w:pStyle w:val="CBDH3"/>
        <w:tabs>
          <w:tab w:val="clear" w:pos="567"/>
        </w:tabs>
        <w:ind w:left="1134" w:firstLine="0"/>
        <w:rPr>
          <w:sz w:val="24"/>
          <w:szCs w:val="24"/>
        </w:rPr>
      </w:pPr>
      <w:r w:rsidRPr="007E2845">
        <w:rPr>
          <w:rFonts w:hint="eastAsia"/>
          <w:sz w:val="24"/>
          <w:szCs w:val="24"/>
          <w:lang w:val="zh-CN"/>
        </w:rPr>
        <w:t>备选方案</w:t>
      </w:r>
      <w:r w:rsidRPr="007E2845">
        <w:rPr>
          <w:sz w:val="24"/>
          <w:szCs w:val="24"/>
        </w:rPr>
        <w:t>A</w:t>
      </w:r>
      <w:r w:rsidRPr="007E2845">
        <w:rPr>
          <w:sz w:val="24"/>
          <w:szCs w:val="24"/>
        </w:rPr>
        <w:br/>
      </w:r>
      <w:r w:rsidRPr="007E2845">
        <w:rPr>
          <w:rFonts w:hint="eastAsia"/>
          <w:sz w:val="24"/>
          <w:szCs w:val="24"/>
          <w:lang w:val="zh-CN"/>
        </w:rPr>
        <w:t>由作为关于获取遗传资源和公正和公平分享其利用所产生惠益的名古屋议定书缔约方会议的缔约方大会予以认可</w:t>
      </w:r>
    </w:p>
    <w:p w14:paraId="15B9F6A6" w14:textId="1553ABE4" w:rsidR="00B50559" w:rsidRPr="007E2845" w:rsidRDefault="00B50559">
      <w:pPr>
        <w:pStyle w:val="CBDNormalNoNumber"/>
        <w:tabs>
          <w:tab w:val="clear" w:pos="567"/>
        </w:tabs>
        <w:ind w:left="1134"/>
        <w:rPr>
          <w:sz w:val="24"/>
          <w:szCs w:val="24"/>
        </w:rPr>
      </w:pPr>
      <w:r w:rsidRPr="007E2845">
        <w:rPr>
          <w:sz w:val="24"/>
          <w:szCs w:val="24"/>
        </w:rPr>
        <w:t>1.</w:t>
      </w:r>
      <w:r w:rsidRPr="007E2845">
        <w:rPr>
          <w:sz w:val="24"/>
          <w:szCs w:val="24"/>
        </w:rPr>
        <w:tab/>
      </w:r>
      <w:r w:rsidRPr="007E2845">
        <w:rPr>
          <w:rFonts w:hint="eastAsia"/>
          <w:sz w:val="24"/>
          <w:szCs w:val="24"/>
          <w:lang w:val="zh-CN"/>
        </w:rPr>
        <w:t>备选方案</w:t>
      </w:r>
      <w:r w:rsidRPr="007E2845">
        <w:rPr>
          <w:sz w:val="24"/>
          <w:szCs w:val="24"/>
        </w:rPr>
        <w:t>A</w:t>
      </w:r>
      <w:r w:rsidRPr="007E2845">
        <w:rPr>
          <w:rFonts w:hint="eastAsia"/>
          <w:sz w:val="24"/>
          <w:szCs w:val="24"/>
          <w:lang w:val="zh-CN"/>
        </w:rPr>
        <w:t>的目标是建立一个由缔约方主导的正式机制</w:t>
      </w:r>
      <w:r w:rsidRPr="007E2845">
        <w:rPr>
          <w:rFonts w:hint="eastAsia"/>
          <w:sz w:val="24"/>
          <w:szCs w:val="24"/>
        </w:rPr>
        <w:t>，</w:t>
      </w:r>
      <w:r w:rsidRPr="007E2845">
        <w:rPr>
          <w:rFonts w:hint="eastAsia"/>
          <w:sz w:val="24"/>
          <w:szCs w:val="24"/>
          <w:lang w:val="zh-CN"/>
        </w:rPr>
        <w:t>通过作为关于获取遗传资源和公正和公平分享其利用所产生惠益的名古屋议定书</w:t>
      </w:r>
      <w:r w:rsidRPr="007E2845">
        <w:rPr>
          <w:rStyle w:val="FootnoteReference"/>
          <w:sz w:val="24"/>
          <w:szCs w:val="24"/>
          <w:lang w:val="zh-CN"/>
        </w:rPr>
        <w:footnoteReference w:id="7"/>
      </w:r>
      <w:r w:rsidR="00CC37F9" w:rsidRPr="007E2845">
        <w:rPr>
          <w:rFonts w:hint="eastAsia"/>
          <w:sz w:val="24"/>
          <w:szCs w:val="24"/>
          <w:lang w:val="zh-CN"/>
        </w:rPr>
        <w:t>缔约方会议的缔约方大会</w:t>
      </w:r>
      <w:r w:rsidRPr="007E2845">
        <w:rPr>
          <w:rFonts w:hint="eastAsia"/>
          <w:sz w:val="24"/>
          <w:szCs w:val="24"/>
          <w:lang w:val="zh-CN"/>
        </w:rPr>
        <w:t>根据第二节内的指示性标准认可遗传资源获取和惠益分享专门性国际文书。这个备选方案可包括以下要素：</w:t>
      </w:r>
      <w:r w:rsidR="00CC37F9">
        <w:rPr>
          <w:rFonts w:hint="eastAsia"/>
          <w:sz w:val="24"/>
          <w:szCs w:val="24"/>
          <w:lang w:val="zh-CN"/>
        </w:rPr>
        <w:t xml:space="preserve"> </w:t>
      </w:r>
    </w:p>
    <w:p w14:paraId="1A37F9E0" w14:textId="77777777" w:rsidR="00B50559" w:rsidRPr="007E2845" w:rsidRDefault="00B50559">
      <w:pPr>
        <w:pStyle w:val="CBDNormalNoNumber"/>
        <w:tabs>
          <w:tab w:val="clear" w:pos="567"/>
        </w:tabs>
        <w:ind w:left="1134" w:firstLine="567"/>
        <w:rPr>
          <w:sz w:val="24"/>
          <w:szCs w:val="24"/>
        </w:rPr>
      </w:pPr>
      <w:r w:rsidRPr="007E2845">
        <w:rPr>
          <w:noProof/>
          <w:sz w:val="24"/>
          <w:szCs w:val="24"/>
        </w:rPr>
        <w:t>(a)</w:t>
      </w:r>
      <w:r w:rsidRPr="007E2845">
        <w:rPr>
          <w:sz w:val="24"/>
          <w:szCs w:val="24"/>
        </w:rPr>
        <w:tab/>
      </w:r>
      <w:r w:rsidRPr="007E2845">
        <w:rPr>
          <w:rFonts w:hint="eastAsia"/>
          <w:sz w:val="24"/>
          <w:szCs w:val="24"/>
          <w:lang w:val="zh-CN"/>
        </w:rPr>
        <w:t>作为名古屋议定书缔约方会议的缔约方大会商定的指示性标准（见第二节）；</w:t>
      </w:r>
    </w:p>
    <w:p w14:paraId="7079C95C" w14:textId="3C66895B" w:rsidR="00B50559" w:rsidRPr="007E2845" w:rsidRDefault="00B50559">
      <w:pPr>
        <w:pStyle w:val="CBDNormalNoNumber"/>
        <w:tabs>
          <w:tab w:val="clear" w:pos="567"/>
        </w:tabs>
        <w:ind w:left="1134" w:firstLine="567"/>
        <w:rPr>
          <w:sz w:val="24"/>
          <w:szCs w:val="24"/>
        </w:rPr>
      </w:pPr>
      <w:r w:rsidRPr="007E2845">
        <w:rPr>
          <w:noProof/>
          <w:sz w:val="24"/>
          <w:szCs w:val="24"/>
        </w:rPr>
        <w:t>(b)</w:t>
      </w:r>
      <w:r w:rsidRPr="007E2845">
        <w:rPr>
          <w:sz w:val="24"/>
          <w:szCs w:val="24"/>
        </w:rPr>
        <w:tab/>
      </w:r>
      <w:r w:rsidRPr="007E2845">
        <w:rPr>
          <w:rFonts w:hint="eastAsia"/>
          <w:sz w:val="24"/>
          <w:szCs w:val="24"/>
          <w:lang w:val="zh-CN"/>
        </w:rPr>
        <w:t>缔约方提交</w:t>
      </w:r>
      <w:r w:rsidR="0051098C">
        <w:rPr>
          <w:rFonts w:hint="eastAsia"/>
          <w:sz w:val="24"/>
          <w:szCs w:val="24"/>
          <w:lang w:val="zh-CN"/>
        </w:rPr>
        <w:t>档案</w:t>
      </w:r>
      <w:r w:rsidRPr="007E2845">
        <w:rPr>
          <w:rFonts w:hint="eastAsia"/>
          <w:sz w:val="24"/>
          <w:szCs w:val="24"/>
        </w:rPr>
        <w:t>；</w:t>
      </w:r>
    </w:p>
    <w:p w14:paraId="0B2EB71A" w14:textId="77777777" w:rsidR="00B50559" w:rsidRPr="007E2845" w:rsidRDefault="00B50559">
      <w:pPr>
        <w:pStyle w:val="CBDNormalNoNumber"/>
        <w:tabs>
          <w:tab w:val="clear" w:pos="567"/>
        </w:tabs>
        <w:ind w:left="1134" w:firstLine="567"/>
        <w:rPr>
          <w:sz w:val="24"/>
          <w:szCs w:val="24"/>
        </w:rPr>
      </w:pPr>
      <w:r w:rsidRPr="007E2845">
        <w:rPr>
          <w:noProof/>
          <w:sz w:val="24"/>
          <w:szCs w:val="24"/>
        </w:rPr>
        <w:t>(c)</w:t>
      </w:r>
      <w:r w:rsidRPr="007E2845">
        <w:rPr>
          <w:sz w:val="24"/>
          <w:szCs w:val="24"/>
        </w:rPr>
        <w:tab/>
      </w:r>
      <w:r w:rsidRPr="007E2845">
        <w:rPr>
          <w:rFonts w:hint="eastAsia"/>
          <w:sz w:val="24"/>
          <w:szCs w:val="24"/>
          <w:lang w:val="zh-CN"/>
        </w:rPr>
        <w:t>与利益攸关方进行包容性磋商</w:t>
      </w:r>
      <w:r w:rsidRPr="007E2845">
        <w:rPr>
          <w:rFonts w:hint="eastAsia"/>
          <w:sz w:val="24"/>
          <w:szCs w:val="24"/>
        </w:rPr>
        <w:t>；</w:t>
      </w:r>
    </w:p>
    <w:p w14:paraId="1A330A7C" w14:textId="77777777" w:rsidR="00B50559" w:rsidRPr="007E2845" w:rsidRDefault="00B50559">
      <w:pPr>
        <w:pStyle w:val="CBDNormalNoNumber"/>
        <w:tabs>
          <w:tab w:val="clear" w:pos="567"/>
        </w:tabs>
        <w:ind w:left="1134" w:firstLine="567"/>
        <w:rPr>
          <w:sz w:val="24"/>
          <w:szCs w:val="24"/>
        </w:rPr>
      </w:pPr>
      <w:r w:rsidRPr="007E2845">
        <w:rPr>
          <w:noProof/>
          <w:sz w:val="24"/>
          <w:szCs w:val="24"/>
        </w:rPr>
        <w:t>(d)</w:t>
      </w:r>
      <w:r w:rsidRPr="007E2845">
        <w:rPr>
          <w:sz w:val="24"/>
          <w:szCs w:val="24"/>
        </w:rPr>
        <w:tab/>
      </w:r>
      <w:r w:rsidRPr="007E2845">
        <w:rPr>
          <w:rFonts w:hint="eastAsia"/>
          <w:sz w:val="24"/>
          <w:szCs w:val="24"/>
          <w:lang w:val="zh-CN"/>
        </w:rPr>
        <w:t>作出有时限的认可</w:t>
      </w:r>
      <w:r w:rsidRPr="007E2845">
        <w:rPr>
          <w:rFonts w:hint="eastAsia"/>
          <w:sz w:val="24"/>
          <w:szCs w:val="24"/>
        </w:rPr>
        <w:t>，</w:t>
      </w:r>
      <w:r w:rsidRPr="007E2845">
        <w:rPr>
          <w:rFonts w:hint="eastAsia"/>
          <w:sz w:val="24"/>
          <w:szCs w:val="24"/>
          <w:lang w:val="zh-CN"/>
        </w:rPr>
        <w:t>并接受定期审查</w:t>
      </w:r>
      <w:r w:rsidRPr="007E2845">
        <w:rPr>
          <w:rFonts w:hint="eastAsia"/>
          <w:sz w:val="24"/>
          <w:szCs w:val="24"/>
        </w:rPr>
        <w:t>；</w:t>
      </w:r>
    </w:p>
    <w:p w14:paraId="3325E6B4" w14:textId="77777777" w:rsidR="00B50559" w:rsidRPr="007E2845" w:rsidRDefault="00B50559">
      <w:pPr>
        <w:pStyle w:val="CBDNormalNoNumber"/>
        <w:tabs>
          <w:tab w:val="clear" w:pos="567"/>
        </w:tabs>
        <w:ind w:left="1134" w:firstLine="567"/>
        <w:rPr>
          <w:sz w:val="24"/>
          <w:szCs w:val="24"/>
        </w:rPr>
      </w:pPr>
      <w:r w:rsidRPr="007E2845">
        <w:rPr>
          <w:noProof/>
          <w:sz w:val="24"/>
          <w:szCs w:val="24"/>
        </w:rPr>
        <w:t>(e)</w:t>
      </w:r>
      <w:r w:rsidRPr="007E2845">
        <w:rPr>
          <w:sz w:val="24"/>
          <w:szCs w:val="24"/>
        </w:rPr>
        <w:tab/>
      </w:r>
      <w:r w:rsidRPr="007E2845">
        <w:rPr>
          <w:rFonts w:hint="eastAsia"/>
          <w:sz w:val="24"/>
          <w:szCs w:val="24"/>
          <w:lang w:val="zh-CN"/>
        </w:rPr>
        <w:t>建立争端解决机制</w:t>
      </w:r>
      <w:r w:rsidRPr="007E2845">
        <w:rPr>
          <w:rFonts w:hint="eastAsia"/>
          <w:sz w:val="24"/>
          <w:szCs w:val="24"/>
        </w:rPr>
        <w:t>：</w:t>
      </w:r>
    </w:p>
    <w:p w14:paraId="50104EF2" w14:textId="77777777" w:rsidR="00B50559" w:rsidRPr="007E2845" w:rsidRDefault="00B50559">
      <w:pPr>
        <w:pStyle w:val="CBDNormalNoNumber"/>
        <w:tabs>
          <w:tab w:val="clear" w:pos="567"/>
        </w:tabs>
        <w:ind w:left="1134" w:firstLine="567"/>
        <w:rPr>
          <w:sz w:val="24"/>
          <w:szCs w:val="24"/>
        </w:rPr>
      </w:pPr>
      <w:r w:rsidRPr="007E2845">
        <w:rPr>
          <w:noProof/>
          <w:sz w:val="24"/>
          <w:szCs w:val="24"/>
        </w:rPr>
        <w:t>(f)</w:t>
      </w:r>
      <w:r w:rsidRPr="007E2845">
        <w:rPr>
          <w:sz w:val="24"/>
          <w:szCs w:val="24"/>
        </w:rPr>
        <w:tab/>
      </w:r>
      <w:r w:rsidRPr="007E2845">
        <w:rPr>
          <w:rFonts w:hint="eastAsia"/>
          <w:sz w:val="24"/>
          <w:szCs w:val="24"/>
          <w:lang w:val="zh-CN"/>
        </w:rPr>
        <w:t>在遗传资源获取和惠益分享信息交换所建立登记册。</w:t>
      </w:r>
    </w:p>
    <w:p w14:paraId="1CB185AA" w14:textId="77777777" w:rsidR="00B50559" w:rsidRPr="007E2845" w:rsidRDefault="00B50559">
      <w:pPr>
        <w:pStyle w:val="CBDH3"/>
        <w:tabs>
          <w:tab w:val="clear" w:pos="567"/>
        </w:tabs>
        <w:ind w:left="1134" w:firstLine="0"/>
        <w:rPr>
          <w:sz w:val="24"/>
          <w:szCs w:val="24"/>
        </w:rPr>
      </w:pPr>
      <w:r w:rsidRPr="007E2845">
        <w:rPr>
          <w:rFonts w:hint="eastAsia"/>
          <w:sz w:val="24"/>
          <w:szCs w:val="24"/>
          <w:lang w:val="zh-CN"/>
        </w:rPr>
        <w:lastRenderedPageBreak/>
        <w:t>备选方案</w:t>
      </w:r>
      <w:r w:rsidRPr="007E2845">
        <w:rPr>
          <w:sz w:val="24"/>
          <w:szCs w:val="24"/>
        </w:rPr>
        <w:t>B</w:t>
      </w:r>
      <w:r w:rsidRPr="007E2845">
        <w:rPr>
          <w:sz w:val="24"/>
          <w:szCs w:val="24"/>
        </w:rPr>
        <w:br/>
      </w:r>
      <w:r w:rsidRPr="007E2845">
        <w:rPr>
          <w:rFonts w:hint="eastAsia"/>
          <w:sz w:val="24"/>
          <w:szCs w:val="24"/>
          <w:lang w:val="zh-CN"/>
        </w:rPr>
        <w:t>采用基于初步协调但不进行正式认可的方法</w:t>
      </w:r>
    </w:p>
    <w:p w14:paraId="616185E0" w14:textId="77777777" w:rsidR="00B50559" w:rsidRPr="007E2845" w:rsidRDefault="00B50559">
      <w:pPr>
        <w:pStyle w:val="CBDNormalNoNumber"/>
        <w:tabs>
          <w:tab w:val="clear" w:pos="567"/>
        </w:tabs>
        <w:ind w:left="1134"/>
        <w:rPr>
          <w:sz w:val="24"/>
          <w:szCs w:val="24"/>
        </w:rPr>
      </w:pPr>
      <w:r w:rsidRPr="007E2845">
        <w:rPr>
          <w:sz w:val="24"/>
          <w:szCs w:val="24"/>
        </w:rPr>
        <w:t>2.</w:t>
      </w:r>
      <w:r w:rsidRPr="007E2845">
        <w:rPr>
          <w:sz w:val="24"/>
          <w:szCs w:val="24"/>
        </w:rPr>
        <w:tab/>
      </w:r>
      <w:r w:rsidRPr="007E2845">
        <w:rPr>
          <w:rFonts w:hint="eastAsia"/>
          <w:sz w:val="24"/>
          <w:szCs w:val="24"/>
          <w:lang w:val="zh-CN"/>
        </w:rPr>
        <w:t>备选方案</w:t>
      </w:r>
      <w:r w:rsidRPr="007E2845">
        <w:rPr>
          <w:sz w:val="24"/>
          <w:szCs w:val="24"/>
        </w:rPr>
        <w:t>B</w:t>
      </w:r>
      <w:r w:rsidRPr="007E2845">
        <w:rPr>
          <w:rFonts w:hint="eastAsia"/>
          <w:sz w:val="24"/>
          <w:szCs w:val="24"/>
          <w:lang w:val="zh-CN"/>
        </w:rPr>
        <w:t>的目标是在不进行正式认可的情况下</w:t>
      </w:r>
      <w:r w:rsidRPr="007E2845">
        <w:rPr>
          <w:rFonts w:hint="eastAsia"/>
          <w:sz w:val="24"/>
          <w:szCs w:val="24"/>
        </w:rPr>
        <w:t>，</w:t>
      </w:r>
      <w:r w:rsidRPr="007E2845">
        <w:rPr>
          <w:rFonts w:hint="eastAsia"/>
          <w:sz w:val="24"/>
          <w:szCs w:val="24"/>
          <w:lang w:val="zh-CN"/>
        </w:rPr>
        <w:t>促进结构化协调和相互支持。这个备选方案包含的要素如下：</w:t>
      </w:r>
    </w:p>
    <w:p w14:paraId="7559C846" w14:textId="77777777" w:rsidR="00B50559" w:rsidRPr="007E2845" w:rsidRDefault="00B50559">
      <w:pPr>
        <w:pStyle w:val="CBDNormalNoNumber"/>
        <w:tabs>
          <w:tab w:val="clear" w:pos="567"/>
        </w:tabs>
        <w:ind w:left="1134" w:firstLine="567"/>
        <w:rPr>
          <w:sz w:val="24"/>
          <w:szCs w:val="24"/>
        </w:rPr>
      </w:pPr>
      <w:r w:rsidRPr="007E2845">
        <w:rPr>
          <w:noProof/>
          <w:sz w:val="24"/>
          <w:szCs w:val="24"/>
        </w:rPr>
        <w:t>(a)</w:t>
      </w:r>
      <w:r w:rsidRPr="007E2845">
        <w:rPr>
          <w:sz w:val="24"/>
          <w:szCs w:val="24"/>
        </w:rPr>
        <w:tab/>
      </w:r>
      <w:r w:rsidRPr="007E2845">
        <w:rPr>
          <w:rFonts w:hint="eastAsia"/>
          <w:sz w:val="24"/>
          <w:szCs w:val="24"/>
          <w:lang w:val="zh-CN"/>
        </w:rPr>
        <w:t>与其他国际组织进行结构化合作</w:t>
      </w:r>
      <w:r w:rsidRPr="007E2845">
        <w:rPr>
          <w:rFonts w:hint="eastAsia"/>
          <w:sz w:val="24"/>
          <w:szCs w:val="24"/>
        </w:rPr>
        <w:t>；</w:t>
      </w:r>
    </w:p>
    <w:p w14:paraId="106526D6" w14:textId="77777777" w:rsidR="00B50559" w:rsidRPr="007E2845" w:rsidRDefault="00B50559">
      <w:pPr>
        <w:pStyle w:val="CBDNormalNoNumber"/>
        <w:tabs>
          <w:tab w:val="clear" w:pos="567"/>
        </w:tabs>
        <w:ind w:left="1134" w:firstLine="567"/>
        <w:rPr>
          <w:sz w:val="24"/>
          <w:szCs w:val="24"/>
        </w:rPr>
      </w:pPr>
      <w:r w:rsidRPr="007E2845">
        <w:rPr>
          <w:noProof/>
          <w:sz w:val="24"/>
          <w:szCs w:val="24"/>
        </w:rPr>
        <w:t>(b)</w:t>
      </w:r>
      <w:r w:rsidRPr="007E2845">
        <w:rPr>
          <w:sz w:val="24"/>
          <w:szCs w:val="24"/>
        </w:rPr>
        <w:tab/>
      </w:r>
      <w:r w:rsidRPr="007E2845">
        <w:rPr>
          <w:rFonts w:hint="eastAsia"/>
          <w:sz w:val="24"/>
          <w:szCs w:val="24"/>
          <w:lang w:val="zh-CN"/>
        </w:rPr>
        <w:t>进行信息交流和加强透明度</w:t>
      </w:r>
      <w:r w:rsidRPr="007E2845">
        <w:rPr>
          <w:rFonts w:hint="eastAsia"/>
          <w:sz w:val="24"/>
          <w:szCs w:val="24"/>
        </w:rPr>
        <w:t>；</w:t>
      </w:r>
    </w:p>
    <w:p w14:paraId="138F8788" w14:textId="77777777" w:rsidR="00B50559" w:rsidRPr="007E2845" w:rsidRDefault="00B50559">
      <w:pPr>
        <w:pStyle w:val="CBDNormalNoNumber"/>
        <w:tabs>
          <w:tab w:val="clear" w:pos="567"/>
        </w:tabs>
        <w:ind w:left="1134" w:firstLine="567"/>
        <w:rPr>
          <w:sz w:val="24"/>
          <w:szCs w:val="24"/>
        </w:rPr>
      </w:pPr>
      <w:r w:rsidRPr="007E2845">
        <w:rPr>
          <w:noProof/>
          <w:sz w:val="24"/>
          <w:szCs w:val="24"/>
        </w:rPr>
        <w:t>(c)</w:t>
      </w:r>
      <w:r w:rsidRPr="007E2845">
        <w:rPr>
          <w:sz w:val="24"/>
          <w:szCs w:val="24"/>
        </w:rPr>
        <w:tab/>
      </w:r>
      <w:r w:rsidRPr="007E2845">
        <w:rPr>
          <w:rFonts w:hint="eastAsia"/>
          <w:sz w:val="24"/>
          <w:szCs w:val="24"/>
          <w:lang w:val="zh-CN"/>
        </w:rPr>
        <w:t>各国就与遗传资源获取和惠益分享专门性国际文书相关的做法提交报告</w:t>
      </w:r>
      <w:r w:rsidRPr="007E2845">
        <w:rPr>
          <w:rFonts w:hint="eastAsia"/>
          <w:sz w:val="24"/>
          <w:szCs w:val="24"/>
        </w:rPr>
        <w:t>；</w:t>
      </w:r>
    </w:p>
    <w:p w14:paraId="044F3132" w14:textId="77777777" w:rsidR="00B50559" w:rsidRPr="007E2845" w:rsidRDefault="00B50559">
      <w:pPr>
        <w:pStyle w:val="CBDNormalNoNumber"/>
        <w:tabs>
          <w:tab w:val="clear" w:pos="567"/>
        </w:tabs>
        <w:ind w:left="1134" w:firstLine="567"/>
        <w:rPr>
          <w:sz w:val="24"/>
          <w:szCs w:val="24"/>
        </w:rPr>
      </w:pPr>
      <w:r w:rsidRPr="007E2845">
        <w:rPr>
          <w:noProof/>
          <w:sz w:val="24"/>
          <w:szCs w:val="24"/>
        </w:rPr>
        <w:t>(d)</w:t>
      </w:r>
      <w:r w:rsidRPr="007E2845">
        <w:rPr>
          <w:sz w:val="24"/>
          <w:szCs w:val="24"/>
        </w:rPr>
        <w:tab/>
      </w:r>
      <w:r w:rsidRPr="007E2845">
        <w:rPr>
          <w:rFonts w:hint="eastAsia"/>
          <w:sz w:val="24"/>
          <w:szCs w:val="24"/>
          <w:lang w:val="zh-CN"/>
        </w:rPr>
        <w:t>根据《名古屋议定书》进行评估</w:t>
      </w:r>
      <w:r w:rsidRPr="007E2845">
        <w:rPr>
          <w:rFonts w:hint="eastAsia"/>
          <w:sz w:val="24"/>
          <w:szCs w:val="24"/>
        </w:rPr>
        <w:t>；</w:t>
      </w:r>
    </w:p>
    <w:p w14:paraId="6D1EF4E6" w14:textId="77777777" w:rsidR="00B50559" w:rsidRPr="007E2845" w:rsidRDefault="00B50559">
      <w:pPr>
        <w:pStyle w:val="CBDNormalNoNumber"/>
        <w:tabs>
          <w:tab w:val="clear" w:pos="567"/>
        </w:tabs>
        <w:ind w:left="1134" w:firstLine="567"/>
        <w:rPr>
          <w:sz w:val="24"/>
          <w:szCs w:val="24"/>
        </w:rPr>
      </w:pPr>
      <w:r w:rsidRPr="007E2845">
        <w:rPr>
          <w:noProof/>
          <w:sz w:val="24"/>
          <w:szCs w:val="24"/>
        </w:rPr>
        <w:t>(e)</w:t>
      </w:r>
      <w:r w:rsidRPr="007E2845">
        <w:rPr>
          <w:sz w:val="24"/>
          <w:szCs w:val="24"/>
        </w:rPr>
        <w:tab/>
      </w:r>
      <w:r w:rsidRPr="007E2845">
        <w:rPr>
          <w:rFonts w:hint="eastAsia"/>
          <w:sz w:val="24"/>
          <w:szCs w:val="24"/>
          <w:lang w:val="zh-CN"/>
        </w:rPr>
        <w:t>制定审查进程</w:t>
      </w:r>
      <w:r w:rsidRPr="007E2845">
        <w:rPr>
          <w:rFonts w:hint="eastAsia"/>
          <w:sz w:val="24"/>
          <w:szCs w:val="24"/>
        </w:rPr>
        <w:t>；</w:t>
      </w:r>
    </w:p>
    <w:p w14:paraId="57A5FC10" w14:textId="77777777" w:rsidR="00B50559" w:rsidRPr="007E2845" w:rsidRDefault="00B50559">
      <w:pPr>
        <w:pStyle w:val="CBDNormalNoNumber"/>
        <w:tabs>
          <w:tab w:val="clear" w:pos="567"/>
        </w:tabs>
        <w:ind w:left="1134" w:firstLine="567"/>
        <w:rPr>
          <w:b/>
          <w:sz w:val="24"/>
          <w:szCs w:val="24"/>
        </w:rPr>
      </w:pPr>
      <w:r w:rsidRPr="007E2845">
        <w:rPr>
          <w:noProof/>
          <w:sz w:val="24"/>
          <w:szCs w:val="24"/>
        </w:rPr>
        <w:t>(f)</w:t>
      </w:r>
      <w:r w:rsidRPr="007E2845">
        <w:rPr>
          <w:sz w:val="24"/>
          <w:szCs w:val="24"/>
        </w:rPr>
        <w:tab/>
      </w:r>
      <w:r w:rsidRPr="007E2845">
        <w:rPr>
          <w:rFonts w:hint="eastAsia"/>
          <w:sz w:val="24"/>
          <w:szCs w:val="24"/>
          <w:lang w:val="zh-CN"/>
        </w:rPr>
        <w:t>不进行正式认可或认证。</w:t>
      </w:r>
    </w:p>
    <w:p w14:paraId="15C3C9DB" w14:textId="77777777" w:rsidR="00B50559" w:rsidRPr="007E2845" w:rsidRDefault="00B50559">
      <w:pPr>
        <w:pStyle w:val="CBDH3"/>
        <w:tabs>
          <w:tab w:val="clear" w:pos="567"/>
        </w:tabs>
        <w:ind w:left="1134" w:firstLine="0"/>
        <w:rPr>
          <w:sz w:val="24"/>
          <w:szCs w:val="24"/>
        </w:rPr>
      </w:pPr>
      <w:r w:rsidRPr="007E2845">
        <w:rPr>
          <w:rFonts w:hint="eastAsia"/>
          <w:sz w:val="24"/>
          <w:szCs w:val="24"/>
          <w:lang w:val="zh-CN"/>
        </w:rPr>
        <w:t>备选方案</w:t>
      </w:r>
      <w:r w:rsidRPr="007E2845">
        <w:rPr>
          <w:sz w:val="24"/>
          <w:szCs w:val="24"/>
        </w:rPr>
        <w:t>C</w:t>
      </w:r>
      <w:r w:rsidRPr="007E2845">
        <w:rPr>
          <w:sz w:val="24"/>
          <w:szCs w:val="24"/>
        </w:rPr>
        <w:br/>
        <w:t>“</w:t>
      </w:r>
      <w:r w:rsidRPr="007E2845">
        <w:rPr>
          <w:rFonts w:hint="eastAsia"/>
          <w:sz w:val="24"/>
          <w:szCs w:val="24"/>
          <w:lang w:val="zh-CN"/>
        </w:rPr>
        <w:t>尊重和备案</w:t>
      </w:r>
      <w:r w:rsidRPr="007E2845">
        <w:rPr>
          <w:sz w:val="24"/>
          <w:szCs w:val="24"/>
        </w:rPr>
        <w:t>”</w:t>
      </w:r>
      <w:r w:rsidRPr="007E2845">
        <w:rPr>
          <w:rFonts w:hint="eastAsia"/>
          <w:sz w:val="24"/>
          <w:szCs w:val="24"/>
          <w:lang w:val="zh-CN"/>
        </w:rPr>
        <w:t>混合模式</w:t>
      </w:r>
      <w:r w:rsidRPr="007E2845">
        <w:rPr>
          <w:rStyle w:val="FootnoteReference"/>
          <w:sz w:val="24"/>
          <w:szCs w:val="24"/>
          <w:lang w:val="zh-CN"/>
        </w:rPr>
        <w:footnoteReference w:id="8"/>
      </w:r>
    </w:p>
    <w:p w14:paraId="13239A72" w14:textId="77777777" w:rsidR="00B50559" w:rsidRPr="007E2845" w:rsidRDefault="00B50559">
      <w:pPr>
        <w:pStyle w:val="CBDNormalNoNumber"/>
        <w:tabs>
          <w:tab w:val="clear" w:pos="567"/>
        </w:tabs>
        <w:ind w:left="1134"/>
        <w:rPr>
          <w:sz w:val="24"/>
          <w:szCs w:val="24"/>
        </w:rPr>
      </w:pPr>
      <w:r w:rsidRPr="007E2845">
        <w:rPr>
          <w:sz w:val="24"/>
          <w:szCs w:val="24"/>
        </w:rPr>
        <w:t>3.</w:t>
      </w:r>
      <w:r w:rsidRPr="007E2845">
        <w:rPr>
          <w:sz w:val="24"/>
          <w:szCs w:val="24"/>
        </w:rPr>
        <w:tab/>
      </w:r>
      <w:r w:rsidRPr="007E2845">
        <w:rPr>
          <w:rFonts w:hint="eastAsia"/>
          <w:sz w:val="24"/>
          <w:szCs w:val="24"/>
          <w:lang w:val="zh-CN"/>
        </w:rPr>
        <w:t>备选方案</w:t>
      </w:r>
      <w:r w:rsidRPr="007E2845">
        <w:rPr>
          <w:sz w:val="24"/>
          <w:szCs w:val="24"/>
        </w:rPr>
        <w:t>C</w:t>
      </w:r>
      <w:r w:rsidRPr="007E2845">
        <w:rPr>
          <w:rFonts w:hint="eastAsia"/>
          <w:sz w:val="24"/>
          <w:szCs w:val="24"/>
          <w:lang w:val="zh-CN"/>
        </w:rPr>
        <w:t>的目标是将作为名古屋议定书缔约方会议的缔约方大会记录的遗传资源获取和惠益分享专门性国际文书理事机构和秘书处的自我申报与最低限度的审查相结合。这个备选方案包含的要素如下：</w:t>
      </w:r>
    </w:p>
    <w:p w14:paraId="57E8D09E" w14:textId="77777777" w:rsidR="00B50559" w:rsidRPr="007E2845" w:rsidRDefault="00B50559">
      <w:pPr>
        <w:pStyle w:val="CBDNormalNoNumber"/>
        <w:tabs>
          <w:tab w:val="clear" w:pos="567"/>
        </w:tabs>
        <w:ind w:left="1134" w:firstLine="567"/>
        <w:rPr>
          <w:sz w:val="24"/>
          <w:szCs w:val="24"/>
        </w:rPr>
      </w:pPr>
      <w:r w:rsidRPr="007E2845">
        <w:rPr>
          <w:noProof/>
          <w:sz w:val="24"/>
          <w:szCs w:val="24"/>
        </w:rPr>
        <w:t>(a)</w:t>
      </w:r>
      <w:r w:rsidRPr="007E2845">
        <w:rPr>
          <w:sz w:val="24"/>
          <w:szCs w:val="24"/>
        </w:rPr>
        <w:tab/>
      </w:r>
      <w:r w:rsidRPr="007E2845">
        <w:rPr>
          <w:rFonts w:hint="eastAsia"/>
          <w:sz w:val="24"/>
          <w:szCs w:val="24"/>
          <w:lang w:val="zh-CN"/>
        </w:rPr>
        <w:t>遗传资源获取和惠益分享专门性国际文书的理事机构或秘书处提交初步自我申报</w:t>
      </w:r>
      <w:r w:rsidRPr="007E2845">
        <w:rPr>
          <w:rFonts w:hint="eastAsia"/>
          <w:sz w:val="24"/>
          <w:szCs w:val="24"/>
        </w:rPr>
        <w:t>；</w:t>
      </w:r>
    </w:p>
    <w:p w14:paraId="19982900" w14:textId="77777777" w:rsidR="00B50559" w:rsidRPr="007E2845" w:rsidRDefault="00B50559">
      <w:pPr>
        <w:pStyle w:val="CBDNormalNoNumber"/>
        <w:tabs>
          <w:tab w:val="clear" w:pos="567"/>
        </w:tabs>
        <w:ind w:left="1134" w:firstLine="567"/>
        <w:rPr>
          <w:sz w:val="24"/>
          <w:szCs w:val="24"/>
        </w:rPr>
      </w:pPr>
      <w:r w:rsidRPr="007E2845">
        <w:rPr>
          <w:noProof/>
          <w:sz w:val="24"/>
          <w:szCs w:val="24"/>
        </w:rPr>
        <w:t>(b)</w:t>
      </w:r>
      <w:r w:rsidRPr="007E2845">
        <w:rPr>
          <w:sz w:val="24"/>
          <w:szCs w:val="24"/>
        </w:rPr>
        <w:tab/>
      </w:r>
      <w:r w:rsidRPr="007E2845">
        <w:rPr>
          <w:rFonts w:hint="eastAsia"/>
          <w:sz w:val="24"/>
          <w:szCs w:val="24"/>
          <w:lang w:val="zh-CN"/>
        </w:rPr>
        <w:t>由作为名古屋议定书缔约方会议的缔约方大会记录或注意到这些自我申报</w:t>
      </w:r>
      <w:r w:rsidRPr="007E2845">
        <w:rPr>
          <w:rFonts w:hint="eastAsia"/>
          <w:sz w:val="24"/>
          <w:szCs w:val="24"/>
        </w:rPr>
        <w:t>；</w:t>
      </w:r>
    </w:p>
    <w:p w14:paraId="7D69922E" w14:textId="77777777" w:rsidR="00B50559" w:rsidRPr="007E2845" w:rsidRDefault="00B50559">
      <w:pPr>
        <w:pStyle w:val="CBDNormalNoNumber"/>
        <w:tabs>
          <w:tab w:val="clear" w:pos="567"/>
        </w:tabs>
        <w:ind w:left="1134" w:firstLine="567"/>
        <w:rPr>
          <w:sz w:val="24"/>
          <w:szCs w:val="24"/>
        </w:rPr>
      </w:pPr>
      <w:r w:rsidRPr="007E2845">
        <w:rPr>
          <w:noProof/>
          <w:sz w:val="24"/>
          <w:szCs w:val="24"/>
        </w:rPr>
        <w:t>(c)</w:t>
      </w:r>
      <w:r w:rsidRPr="007E2845">
        <w:rPr>
          <w:sz w:val="24"/>
          <w:szCs w:val="24"/>
        </w:rPr>
        <w:tab/>
      </w:r>
      <w:r w:rsidRPr="007E2845">
        <w:rPr>
          <w:rFonts w:hint="eastAsia"/>
          <w:sz w:val="24"/>
          <w:szCs w:val="24"/>
          <w:lang w:val="zh-CN"/>
        </w:rPr>
        <w:t>利用遗传资源获取和惠益分享专门性国际文书的理事机构或秘书处遵循的自愿标准确定这些文书与《名古屋议定书》第</w:t>
      </w:r>
      <w:r w:rsidRPr="007E2845">
        <w:rPr>
          <w:sz w:val="24"/>
          <w:szCs w:val="24"/>
        </w:rPr>
        <w:t>4</w:t>
      </w:r>
      <w:r w:rsidRPr="007E2845">
        <w:rPr>
          <w:rFonts w:hint="eastAsia"/>
          <w:sz w:val="24"/>
          <w:szCs w:val="24"/>
          <w:lang w:val="zh-CN"/>
        </w:rPr>
        <w:t>条第</w:t>
      </w:r>
      <w:r w:rsidRPr="007E2845">
        <w:rPr>
          <w:sz w:val="24"/>
          <w:szCs w:val="24"/>
        </w:rPr>
        <w:t>4</w:t>
      </w:r>
      <w:r w:rsidRPr="007E2845">
        <w:rPr>
          <w:rFonts w:hint="eastAsia"/>
          <w:sz w:val="24"/>
          <w:szCs w:val="24"/>
          <w:lang w:val="zh-CN"/>
        </w:rPr>
        <w:t>款的关系</w:t>
      </w:r>
      <w:r w:rsidRPr="007E2845">
        <w:rPr>
          <w:rFonts w:hint="eastAsia"/>
          <w:sz w:val="24"/>
          <w:szCs w:val="24"/>
        </w:rPr>
        <w:t>；</w:t>
      </w:r>
    </w:p>
    <w:p w14:paraId="5619DCDB" w14:textId="77777777" w:rsidR="00B50559" w:rsidRPr="007E2845" w:rsidRDefault="00B50559">
      <w:pPr>
        <w:pStyle w:val="CBDNormalNoNumber"/>
        <w:tabs>
          <w:tab w:val="clear" w:pos="567"/>
        </w:tabs>
        <w:ind w:left="1134" w:firstLine="567"/>
        <w:rPr>
          <w:sz w:val="24"/>
          <w:szCs w:val="24"/>
        </w:rPr>
      </w:pPr>
      <w:r w:rsidRPr="007E2845">
        <w:rPr>
          <w:noProof/>
          <w:sz w:val="24"/>
          <w:szCs w:val="24"/>
        </w:rPr>
        <w:t>(d)</w:t>
      </w:r>
      <w:r w:rsidRPr="007E2845">
        <w:rPr>
          <w:sz w:val="24"/>
          <w:szCs w:val="24"/>
        </w:rPr>
        <w:tab/>
      </w:r>
      <w:r w:rsidRPr="007E2845">
        <w:rPr>
          <w:rFonts w:hint="eastAsia"/>
          <w:sz w:val="24"/>
          <w:szCs w:val="24"/>
          <w:lang w:val="zh-CN"/>
        </w:rPr>
        <w:t>制定闭会期间滚动式清单</w:t>
      </w:r>
      <w:r w:rsidRPr="007E2845">
        <w:rPr>
          <w:rFonts w:hint="eastAsia"/>
          <w:sz w:val="24"/>
          <w:szCs w:val="24"/>
        </w:rPr>
        <w:t>；</w:t>
      </w:r>
    </w:p>
    <w:p w14:paraId="393A97FF" w14:textId="77777777" w:rsidR="00B50559" w:rsidRPr="007E2845" w:rsidRDefault="00B50559">
      <w:pPr>
        <w:pStyle w:val="CBDNormalNoNumber"/>
        <w:tabs>
          <w:tab w:val="clear" w:pos="567"/>
        </w:tabs>
        <w:ind w:left="1134" w:firstLine="567"/>
        <w:rPr>
          <w:sz w:val="24"/>
          <w:szCs w:val="24"/>
        </w:rPr>
      </w:pPr>
      <w:r w:rsidRPr="007E2845">
        <w:rPr>
          <w:noProof/>
          <w:sz w:val="24"/>
          <w:szCs w:val="24"/>
        </w:rPr>
        <w:t>(e)</w:t>
      </w:r>
      <w:r w:rsidRPr="007E2845">
        <w:rPr>
          <w:sz w:val="24"/>
          <w:szCs w:val="24"/>
        </w:rPr>
        <w:tab/>
      </w:r>
      <w:r w:rsidRPr="007E2845">
        <w:rPr>
          <w:rFonts w:hint="eastAsia"/>
          <w:sz w:val="24"/>
          <w:szCs w:val="24"/>
          <w:lang w:val="zh-CN"/>
        </w:rPr>
        <w:t>在遗传资源获取和惠益分享信息交换所建立登记册</w:t>
      </w:r>
      <w:r w:rsidRPr="007E2845">
        <w:rPr>
          <w:rFonts w:hint="eastAsia"/>
          <w:sz w:val="24"/>
          <w:szCs w:val="24"/>
        </w:rPr>
        <w:t>；</w:t>
      </w:r>
    </w:p>
    <w:p w14:paraId="17E5F4B2" w14:textId="77777777" w:rsidR="00B50559" w:rsidRPr="007E2845" w:rsidRDefault="00B50559">
      <w:pPr>
        <w:pStyle w:val="CBDNormalNoNumber"/>
        <w:tabs>
          <w:tab w:val="clear" w:pos="567"/>
        </w:tabs>
        <w:ind w:left="1134" w:firstLine="567"/>
        <w:rPr>
          <w:sz w:val="24"/>
          <w:szCs w:val="24"/>
        </w:rPr>
      </w:pPr>
      <w:r w:rsidRPr="007E2845">
        <w:rPr>
          <w:noProof/>
          <w:sz w:val="24"/>
          <w:szCs w:val="24"/>
        </w:rPr>
        <w:t>(f)</w:t>
      </w:r>
      <w:r w:rsidRPr="007E2845">
        <w:rPr>
          <w:sz w:val="24"/>
          <w:szCs w:val="24"/>
        </w:rPr>
        <w:tab/>
      </w:r>
      <w:r w:rsidRPr="007E2845">
        <w:rPr>
          <w:rFonts w:hint="eastAsia"/>
          <w:sz w:val="24"/>
          <w:szCs w:val="24"/>
          <w:lang w:val="zh-CN"/>
        </w:rPr>
        <w:t>为缔约方和利益攸关方建立跨机制服务台。</w:t>
      </w:r>
    </w:p>
    <w:p w14:paraId="6BE90915" w14:textId="7D8E01EF" w:rsidR="00B50559" w:rsidRPr="007E2845" w:rsidRDefault="00B50559">
      <w:pPr>
        <w:pStyle w:val="CBDH2"/>
        <w:tabs>
          <w:tab w:val="clear" w:pos="567"/>
        </w:tabs>
        <w:ind w:left="1134"/>
        <w:jc w:val="left"/>
        <w:rPr>
          <w:szCs w:val="24"/>
        </w:rPr>
      </w:pPr>
      <w:r w:rsidRPr="007E2845">
        <w:rPr>
          <w:rFonts w:hint="eastAsia"/>
          <w:szCs w:val="24"/>
          <w:lang w:val="zh-CN"/>
        </w:rPr>
        <w:t>二</w:t>
      </w:r>
      <w:r w:rsidRPr="007E2845">
        <w:rPr>
          <w:rFonts w:hint="eastAsia"/>
          <w:szCs w:val="24"/>
          <w:lang w:val="en-US"/>
        </w:rPr>
        <w:t>．</w:t>
      </w:r>
      <w:r w:rsidRPr="007E2845">
        <w:rPr>
          <w:szCs w:val="24"/>
        </w:rPr>
        <w:tab/>
      </w:r>
      <w:r w:rsidRPr="007E2845">
        <w:rPr>
          <w:rFonts w:hint="eastAsia"/>
          <w:szCs w:val="24"/>
          <w:lang w:val="zh-CN"/>
        </w:rPr>
        <w:t>确定或认可遗传资源获取和惠益分享专门性国际文书地位的拟议指示性标准</w:t>
      </w:r>
      <w:r w:rsidRPr="007E2845">
        <w:rPr>
          <w:rFonts w:hint="eastAsia"/>
          <w:szCs w:val="24"/>
        </w:rPr>
        <w:t>（</w:t>
      </w:r>
      <w:r w:rsidRPr="007E2845">
        <w:rPr>
          <w:rFonts w:hint="eastAsia"/>
          <w:szCs w:val="24"/>
          <w:lang w:val="zh-CN"/>
        </w:rPr>
        <w:t>适用于备选方案</w:t>
      </w:r>
      <w:r w:rsidR="0030516D">
        <w:rPr>
          <w:rFonts w:hint="eastAsia"/>
          <w:szCs w:val="24"/>
          <w:lang w:val="zh-CN"/>
        </w:rPr>
        <w:t>一</w:t>
      </w:r>
      <w:r w:rsidR="0030516D">
        <w:rPr>
          <w:rFonts w:hint="eastAsia"/>
          <w:szCs w:val="24"/>
          <w:lang w:val="zh-CN"/>
        </w:rPr>
        <w:t>.</w:t>
      </w:r>
      <w:r w:rsidRPr="007E2845">
        <w:rPr>
          <w:szCs w:val="24"/>
        </w:rPr>
        <w:t>A</w:t>
      </w:r>
      <w:r w:rsidRPr="007E2845">
        <w:rPr>
          <w:rFonts w:hint="eastAsia"/>
          <w:szCs w:val="24"/>
          <w:lang w:val="zh-CN"/>
        </w:rPr>
        <w:t>和</w:t>
      </w:r>
      <w:r w:rsidR="0030516D">
        <w:rPr>
          <w:rFonts w:hint="eastAsia"/>
          <w:szCs w:val="24"/>
          <w:lang w:val="zh-CN"/>
        </w:rPr>
        <w:t>一</w:t>
      </w:r>
      <w:r w:rsidR="0030516D">
        <w:rPr>
          <w:rFonts w:hint="eastAsia"/>
          <w:szCs w:val="24"/>
          <w:lang w:val="zh-CN"/>
        </w:rPr>
        <w:t>.</w:t>
      </w:r>
      <w:r w:rsidRPr="007E2845">
        <w:rPr>
          <w:szCs w:val="24"/>
        </w:rPr>
        <w:t>C</w:t>
      </w:r>
      <w:r w:rsidRPr="007E2845">
        <w:rPr>
          <w:rFonts w:hint="eastAsia"/>
          <w:szCs w:val="24"/>
        </w:rPr>
        <w:t>）</w:t>
      </w:r>
    </w:p>
    <w:p w14:paraId="660E6236" w14:textId="77777777" w:rsidR="00B50559" w:rsidRPr="007E2845" w:rsidRDefault="00B50559">
      <w:pPr>
        <w:pStyle w:val="CBDNormalNoNumber"/>
        <w:tabs>
          <w:tab w:val="clear" w:pos="567"/>
        </w:tabs>
        <w:ind w:left="1134"/>
        <w:rPr>
          <w:sz w:val="24"/>
          <w:szCs w:val="24"/>
        </w:rPr>
      </w:pPr>
      <w:r w:rsidRPr="007E2845">
        <w:rPr>
          <w:sz w:val="24"/>
          <w:szCs w:val="24"/>
        </w:rPr>
        <w:t>4.</w:t>
      </w:r>
      <w:r w:rsidRPr="007E2845">
        <w:rPr>
          <w:sz w:val="24"/>
          <w:szCs w:val="24"/>
        </w:rPr>
        <w:tab/>
      </w:r>
      <w:r w:rsidRPr="007E2845">
        <w:rPr>
          <w:rFonts w:hint="eastAsia"/>
          <w:sz w:val="24"/>
          <w:szCs w:val="24"/>
          <w:lang w:val="zh-CN"/>
        </w:rPr>
        <w:t>用于认可的指示性标准</w:t>
      </w:r>
      <w:r w:rsidRPr="007E2845">
        <w:rPr>
          <w:rFonts w:hint="eastAsia"/>
          <w:sz w:val="24"/>
          <w:szCs w:val="24"/>
        </w:rPr>
        <w:t>：</w:t>
      </w:r>
    </w:p>
    <w:p w14:paraId="50DAADEC" w14:textId="05E3A737" w:rsidR="00B50559" w:rsidRPr="007E2845" w:rsidRDefault="00B50559">
      <w:pPr>
        <w:pStyle w:val="CBDNormalNoNumber"/>
        <w:tabs>
          <w:tab w:val="clear" w:pos="567"/>
        </w:tabs>
        <w:ind w:left="1134" w:firstLine="567"/>
        <w:rPr>
          <w:sz w:val="24"/>
          <w:szCs w:val="24"/>
        </w:rPr>
      </w:pPr>
      <w:r w:rsidRPr="007E2845">
        <w:rPr>
          <w:noProof/>
          <w:sz w:val="24"/>
          <w:szCs w:val="24"/>
        </w:rPr>
        <w:t>(a)</w:t>
      </w:r>
      <w:r w:rsidRPr="007E2845">
        <w:rPr>
          <w:sz w:val="24"/>
          <w:szCs w:val="24"/>
        </w:rPr>
        <w:tab/>
      </w:r>
      <w:r w:rsidR="000D10C8">
        <w:rPr>
          <w:rFonts w:hint="eastAsia"/>
          <w:sz w:val="24"/>
          <w:szCs w:val="24"/>
          <w:lang w:val="zh-CN"/>
        </w:rPr>
        <w:t>经</w:t>
      </w:r>
      <w:r w:rsidRPr="007E2845">
        <w:rPr>
          <w:rFonts w:hint="eastAsia"/>
          <w:sz w:val="24"/>
          <w:szCs w:val="24"/>
          <w:lang w:val="zh-CN"/>
        </w:rPr>
        <w:t>政府间</w:t>
      </w:r>
      <w:r w:rsidR="000D10C8">
        <w:rPr>
          <w:rFonts w:hint="eastAsia"/>
          <w:sz w:val="24"/>
          <w:szCs w:val="24"/>
          <w:lang w:val="zh-CN"/>
        </w:rPr>
        <w:t>通过</w:t>
      </w:r>
      <w:r w:rsidRPr="007E2845">
        <w:rPr>
          <w:rFonts w:hint="eastAsia"/>
          <w:sz w:val="24"/>
          <w:szCs w:val="24"/>
          <w:lang w:val="zh-CN"/>
        </w:rPr>
        <w:t>或认可</w:t>
      </w:r>
      <w:r w:rsidR="000D10C8">
        <w:rPr>
          <w:rFonts w:hint="eastAsia"/>
          <w:sz w:val="24"/>
          <w:szCs w:val="24"/>
          <w:lang w:val="zh-CN"/>
        </w:rPr>
        <w:t>而</w:t>
      </w:r>
      <w:r w:rsidRPr="007E2845">
        <w:rPr>
          <w:rFonts w:hint="eastAsia"/>
          <w:sz w:val="24"/>
          <w:szCs w:val="24"/>
          <w:lang w:val="zh-CN"/>
        </w:rPr>
        <w:t>提供的法律基础</w:t>
      </w:r>
      <w:r w:rsidRPr="007E2845">
        <w:rPr>
          <w:rFonts w:hint="eastAsia"/>
          <w:sz w:val="24"/>
          <w:szCs w:val="24"/>
        </w:rPr>
        <w:t>；</w:t>
      </w:r>
    </w:p>
    <w:p w14:paraId="704F1DAF" w14:textId="77777777" w:rsidR="00B50559" w:rsidRPr="007E2845" w:rsidRDefault="00B50559">
      <w:pPr>
        <w:pStyle w:val="CBDNormalNoNumber"/>
        <w:tabs>
          <w:tab w:val="clear" w:pos="567"/>
        </w:tabs>
        <w:ind w:left="1134" w:firstLine="567"/>
        <w:rPr>
          <w:sz w:val="24"/>
          <w:szCs w:val="24"/>
        </w:rPr>
      </w:pPr>
      <w:r w:rsidRPr="007E2845">
        <w:rPr>
          <w:noProof/>
          <w:sz w:val="24"/>
          <w:szCs w:val="24"/>
        </w:rPr>
        <w:t>(b)</w:t>
      </w:r>
      <w:r w:rsidRPr="007E2845">
        <w:rPr>
          <w:sz w:val="24"/>
          <w:szCs w:val="24"/>
        </w:rPr>
        <w:tab/>
      </w:r>
      <w:r w:rsidRPr="007E2845">
        <w:rPr>
          <w:rFonts w:hint="eastAsia"/>
          <w:sz w:val="24"/>
          <w:szCs w:val="24"/>
          <w:lang w:val="zh-CN"/>
        </w:rPr>
        <w:t>专门性的范围和目的</w:t>
      </w:r>
      <w:r w:rsidRPr="007E2845">
        <w:rPr>
          <w:rFonts w:hint="eastAsia"/>
          <w:sz w:val="24"/>
          <w:szCs w:val="24"/>
        </w:rPr>
        <w:t>；</w:t>
      </w:r>
    </w:p>
    <w:p w14:paraId="2632B272" w14:textId="50AD4DDA" w:rsidR="00B50559" w:rsidRPr="007E2845" w:rsidRDefault="00B50559">
      <w:pPr>
        <w:pStyle w:val="CBDNormalNoNumber"/>
        <w:tabs>
          <w:tab w:val="clear" w:pos="567"/>
        </w:tabs>
        <w:ind w:left="1134" w:firstLine="567"/>
        <w:rPr>
          <w:sz w:val="24"/>
          <w:szCs w:val="24"/>
        </w:rPr>
      </w:pPr>
      <w:r w:rsidRPr="007E2845">
        <w:rPr>
          <w:noProof/>
          <w:sz w:val="24"/>
          <w:szCs w:val="24"/>
        </w:rPr>
        <w:t>(c)</w:t>
      </w:r>
      <w:r w:rsidRPr="007E2845">
        <w:rPr>
          <w:sz w:val="24"/>
          <w:szCs w:val="24"/>
        </w:rPr>
        <w:tab/>
      </w:r>
      <w:r w:rsidRPr="007E2845">
        <w:rPr>
          <w:rFonts w:hint="eastAsia"/>
          <w:sz w:val="24"/>
          <w:szCs w:val="24"/>
          <w:lang w:val="zh-CN"/>
        </w:rPr>
        <w:t>与《生物多样性公约》</w:t>
      </w:r>
      <w:r w:rsidRPr="007E2845">
        <w:rPr>
          <w:rStyle w:val="FootnoteReference"/>
          <w:sz w:val="24"/>
          <w:szCs w:val="24"/>
          <w:lang w:val="zh-CN"/>
        </w:rPr>
        <w:footnoteReference w:id="9"/>
      </w:r>
      <w:r w:rsidRPr="007E2845">
        <w:rPr>
          <w:rFonts w:hint="eastAsia"/>
          <w:sz w:val="24"/>
          <w:szCs w:val="24"/>
          <w:lang w:val="zh-CN"/>
        </w:rPr>
        <w:t>和《名古屋议定书》的目标</w:t>
      </w:r>
      <w:r w:rsidR="000D10C8">
        <w:rPr>
          <w:rFonts w:hint="eastAsia"/>
          <w:sz w:val="24"/>
          <w:szCs w:val="24"/>
          <w:lang w:val="zh-CN"/>
        </w:rPr>
        <w:t>相</w:t>
      </w:r>
      <w:r w:rsidRPr="007E2845">
        <w:rPr>
          <w:rFonts w:hint="eastAsia"/>
          <w:sz w:val="24"/>
          <w:szCs w:val="24"/>
          <w:lang w:val="zh-CN"/>
        </w:rPr>
        <w:t>一致</w:t>
      </w:r>
      <w:r w:rsidRPr="007E2845">
        <w:rPr>
          <w:rFonts w:hint="eastAsia"/>
          <w:sz w:val="24"/>
          <w:szCs w:val="24"/>
        </w:rPr>
        <w:t>；</w:t>
      </w:r>
    </w:p>
    <w:p w14:paraId="01F47A3D" w14:textId="77777777" w:rsidR="00B50559" w:rsidRPr="007E2845" w:rsidRDefault="00B50559">
      <w:pPr>
        <w:pStyle w:val="CBDNormalNoNumber"/>
        <w:tabs>
          <w:tab w:val="clear" w:pos="567"/>
        </w:tabs>
        <w:ind w:left="1134" w:firstLine="567"/>
        <w:rPr>
          <w:sz w:val="24"/>
          <w:szCs w:val="24"/>
        </w:rPr>
      </w:pPr>
      <w:r w:rsidRPr="007E2845">
        <w:rPr>
          <w:noProof/>
          <w:sz w:val="24"/>
          <w:szCs w:val="24"/>
        </w:rPr>
        <w:lastRenderedPageBreak/>
        <w:t>(d)</w:t>
      </w:r>
      <w:r w:rsidRPr="007E2845">
        <w:rPr>
          <w:sz w:val="24"/>
          <w:szCs w:val="24"/>
        </w:rPr>
        <w:tab/>
      </w:r>
      <w:r w:rsidRPr="007E2845">
        <w:rPr>
          <w:rFonts w:hint="eastAsia"/>
          <w:sz w:val="24"/>
          <w:szCs w:val="24"/>
          <w:lang w:val="zh-CN"/>
        </w:rPr>
        <w:t>公平和公正的惠益分享机制</w:t>
      </w:r>
      <w:r w:rsidRPr="007E2845">
        <w:rPr>
          <w:rFonts w:hint="eastAsia"/>
          <w:sz w:val="24"/>
          <w:szCs w:val="24"/>
          <w:lang w:val="en-US"/>
        </w:rPr>
        <w:t>；</w:t>
      </w:r>
    </w:p>
    <w:p w14:paraId="1B0219D4" w14:textId="77777777" w:rsidR="00B50559" w:rsidRPr="007E2845" w:rsidRDefault="00B50559">
      <w:pPr>
        <w:pStyle w:val="CBDNormalNoNumber"/>
        <w:tabs>
          <w:tab w:val="clear" w:pos="567"/>
        </w:tabs>
        <w:ind w:left="1134" w:firstLine="567"/>
        <w:rPr>
          <w:sz w:val="24"/>
          <w:szCs w:val="24"/>
        </w:rPr>
      </w:pPr>
      <w:r w:rsidRPr="007E2845">
        <w:rPr>
          <w:noProof/>
          <w:sz w:val="24"/>
          <w:szCs w:val="24"/>
        </w:rPr>
        <w:t>(e)</w:t>
      </w:r>
      <w:r w:rsidRPr="007E2845">
        <w:rPr>
          <w:sz w:val="24"/>
          <w:szCs w:val="24"/>
        </w:rPr>
        <w:tab/>
      </w:r>
      <w:r w:rsidRPr="007E2845">
        <w:rPr>
          <w:rFonts w:hint="eastAsia"/>
          <w:sz w:val="24"/>
          <w:szCs w:val="24"/>
          <w:lang w:val="zh-CN"/>
        </w:rPr>
        <w:t>土著人民和地方社区的有效参与</w:t>
      </w:r>
      <w:r w:rsidRPr="007E2845">
        <w:rPr>
          <w:rFonts w:hint="eastAsia"/>
          <w:sz w:val="24"/>
          <w:szCs w:val="24"/>
        </w:rPr>
        <w:t>；</w:t>
      </w:r>
    </w:p>
    <w:p w14:paraId="3AA59F2D" w14:textId="77777777" w:rsidR="00B50559" w:rsidRPr="007E2845" w:rsidRDefault="00B50559">
      <w:pPr>
        <w:pStyle w:val="CBDNormalNoNumber"/>
        <w:tabs>
          <w:tab w:val="clear" w:pos="567"/>
        </w:tabs>
        <w:ind w:left="1134" w:firstLine="567"/>
        <w:rPr>
          <w:sz w:val="24"/>
          <w:szCs w:val="24"/>
        </w:rPr>
      </w:pPr>
      <w:r w:rsidRPr="007E2845">
        <w:rPr>
          <w:noProof/>
          <w:sz w:val="24"/>
          <w:szCs w:val="24"/>
        </w:rPr>
        <w:t>(f)</w:t>
      </w:r>
      <w:r w:rsidRPr="007E2845">
        <w:rPr>
          <w:sz w:val="24"/>
          <w:szCs w:val="24"/>
        </w:rPr>
        <w:tab/>
      </w:r>
      <w:r w:rsidRPr="007E2845">
        <w:rPr>
          <w:rFonts w:hint="eastAsia"/>
          <w:sz w:val="24"/>
          <w:szCs w:val="24"/>
          <w:lang w:val="zh-CN"/>
        </w:rPr>
        <w:t>制定关于透明度、监测和问责制的规定</w:t>
      </w:r>
      <w:r w:rsidRPr="007E2845">
        <w:rPr>
          <w:rFonts w:hint="eastAsia"/>
          <w:sz w:val="24"/>
          <w:szCs w:val="24"/>
        </w:rPr>
        <w:t>；</w:t>
      </w:r>
    </w:p>
    <w:p w14:paraId="7ED864ED" w14:textId="77777777" w:rsidR="00B50559" w:rsidRPr="007E2845" w:rsidRDefault="00B50559">
      <w:pPr>
        <w:pStyle w:val="CBDNormalNoNumber"/>
        <w:tabs>
          <w:tab w:val="clear" w:pos="567"/>
        </w:tabs>
        <w:ind w:left="1134" w:firstLine="567"/>
        <w:rPr>
          <w:sz w:val="24"/>
          <w:szCs w:val="24"/>
        </w:rPr>
      </w:pPr>
      <w:r w:rsidRPr="007E2845">
        <w:rPr>
          <w:noProof/>
          <w:sz w:val="24"/>
          <w:szCs w:val="24"/>
        </w:rPr>
        <w:t>(g)</w:t>
      </w:r>
      <w:r w:rsidRPr="007E2845">
        <w:rPr>
          <w:sz w:val="24"/>
          <w:szCs w:val="24"/>
        </w:rPr>
        <w:tab/>
      </w:r>
      <w:r w:rsidRPr="007E2845">
        <w:rPr>
          <w:rFonts w:hint="eastAsia"/>
          <w:sz w:val="24"/>
          <w:szCs w:val="24"/>
          <w:lang w:val="zh-CN"/>
        </w:rPr>
        <w:t>促进相互支持和避免重复。</w:t>
      </w:r>
    </w:p>
    <w:p w14:paraId="4EA4C14C" w14:textId="77777777" w:rsidR="00B50559" w:rsidRDefault="00B50559">
      <w:pPr>
        <w:pStyle w:val="Para1"/>
        <w:numPr>
          <w:ilvl w:val="0"/>
          <w:numId w:val="0"/>
        </w:numPr>
        <w:ind w:left="567"/>
        <w:jc w:val="center"/>
        <w:rPr>
          <w:szCs w:val="24"/>
        </w:rPr>
      </w:pPr>
      <w:r>
        <w:rPr>
          <w:szCs w:val="24"/>
        </w:rPr>
        <w:t>__________</w:t>
      </w:r>
    </w:p>
    <w:sectPr w:rsidR="00B50559" w:rsidSect="00B50559">
      <w:headerReference w:type="even" r:id="rId21"/>
      <w:headerReference w:type="default" r:id="rId22"/>
      <w:footerReference w:type="even" r:id="rId23"/>
      <w:footerReference w:type="default" r:id="rId24"/>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CD1EA" w14:textId="77777777" w:rsidR="00634C00" w:rsidRDefault="00634C00">
      <w:pPr>
        <w:rPr>
          <w:szCs w:val="24"/>
        </w:rPr>
      </w:pPr>
      <w:r>
        <w:rPr>
          <w:szCs w:val="24"/>
        </w:rPr>
        <w:separator/>
      </w:r>
    </w:p>
  </w:endnote>
  <w:endnote w:type="continuationSeparator" w:id="0">
    <w:p w14:paraId="06E01668" w14:textId="77777777" w:rsidR="00634C00" w:rsidRDefault="00634C00">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Univers">
    <w:charset w:val="00"/>
    <w:family w:val="swiss"/>
    <w:pitch w:val="variable"/>
    <w:sig w:usb0="80000287" w:usb1="00000000" w:usb2="00000000" w:usb3="00000000" w:csb0="0000000F"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64225" w14:textId="77777777" w:rsidR="00B50559" w:rsidRDefault="00B50559">
    <w:pPr>
      <w:pStyle w:val="CBDFooter"/>
      <w:rPr>
        <w:szCs w:val="24"/>
      </w:rPr>
    </w:pPr>
    <w:r>
      <w:rPr>
        <w:szCs w:val="24"/>
      </w:rPr>
      <w:fldChar w:fldCharType="begin"/>
    </w:r>
    <w:r>
      <w:rPr>
        <w:szCs w:val="24"/>
      </w:rPr>
      <w:instrText xml:space="preserve"> PAGE </w:instrText>
    </w:r>
    <w:r>
      <w:rPr>
        <w:szCs w:val="24"/>
      </w:rPr>
      <w:fldChar w:fldCharType="separate"/>
    </w:r>
    <w:r>
      <w:rPr>
        <w:noProof/>
        <w:szCs w:val="24"/>
      </w:rPr>
      <w:t>6</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7</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B38DD" w14:textId="77777777" w:rsidR="00B50559" w:rsidRDefault="00B50559">
    <w:pPr>
      <w:pStyle w:val="CBDFooter"/>
      <w:jc w:val="right"/>
      <w:rPr>
        <w:szCs w:val="24"/>
      </w:rPr>
    </w:pPr>
    <w:r>
      <w:rPr>
        <w:szCs w:val="24"/>
      </w:rPr>
      <w:fldChar w:fldCharType="begin"/>
    </w:r>
    <w:r>
      <w:rPr>
        <w:szCs w:val="24"/>
      </w:rPr>
      <w:instrText xml:space="preserve"> PAGE </w:instrText>
    </w:r>
    <w:r>
      <w:rPr>
        <w:szCs w:val="24"/>
      </w:rPr>
      <w:fldChar w:fldCharType="separate"/>
    </w:r>
    <w:r>
      <w:rPr>
        <w:noProof/>
        <w:szCs w:val="24"/>
      </w:rPr>
      <w:t>7</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7</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FAD55" w14:textId="77777777" w:rsidR="00634C00" w:rsidRDefault="00634C00">
      <w:pPr>
        <w:rPr>
          <w:szCs w:val="24"/>
        </w:rPr>
      </w:pPr>
      <w:r>
        <w:rPr>
          <w:szCs w:val="24"/>
        </w:rPr>
        <w:separator/>
      </w:r>
    </w:p>
  </w:footnote>
  <w:footnote w:type="continuationSeparator" w:id="0">
    <w:p w14:paraId="58500862" w14:textId="77777777" w:rsidR="00634C00" w:rsidRDefault="00634C00">
      <w:pPr>
        <w:rPr>
          <w:szCs w:val="24"/>
        </w:rPr>
      </w:pPr>
      <w:r>
        <w:rPr>
          <w:szCs w:val="24"/>
        </w:rPr>
        <w:continuationSeparator/>
      </w:r>
    </w:p>
  </w:footnote>
  <w:footnote w:id="1">
    <w:p w14:paraId="31A99CFF" w14:textId="77777777" w:rsidR="00B50559" w:rsidRPr="00961857" w:rsidRDefault="00B50559">
      <w:pPr>
        <w:pStyle w:val="FootnoteText"/>
        <w:rPr>
          <w:sz w:val="20"/>
        </w:rPr>
      </w:pPr>
      <w:r w:rsidRPr="00961857">
        <w:rPr>
          <w:rStyle w:val="FootnoteReference"/>
          <w:sz w:val="20"/>
        </w:rPr>
        <w:t>*</w:t>
      </w:r>
      <w:r w:rsidRPr="00961857">
        <w:rPr>
          <w:sz w:val="20"/>
        </w:rPr>
        <w:t xml:space="preserve"> </w:t>
      </w:r>
      <w:hyperlink r:id="rId1" w:history="1">
        <w:r w:rsidRPr="00961857">
          <w:rPr>
            <w:rStyle w:val="Hyperlink"/>
            <w:sz w:val="20"/>
            <w:lang w:val="en-US"/>
          </w:rPr>
          <w:t>CBD/SBI/6/1</w:t>
        </w:r>
      </w:hyperlink>
      <w:r w:rsidRPr="00961857">
        <w:rPr>
          <w:sz w:val="20"/>
          <w:lang w:val="zh-CN"/>
        </w:rPr>
        <w:t>。</w:t>
      </w:r>
    </w:p>
  </w:footnote>
  <w:footnote w:id="2">
    <w:p w14:paraId="52F8BF3F" w14:textId="3CBB7A7F" w:rsidR="00B50559" w:rsidRPr="00961857" w:rsidRDefault="00B50559">
      <w:pPr>
        <w:pStyle w:val="FootnoteText"/>
        <w:rPr>
          <w:sz w:val="20"/>
        </w:rPr>
      </w:pPr>
      <w:r w:rsidRPr="00961857">
        <w:rPr>
          <w:rStyle w:val="FootnoteReference"/>
          <w:sz w:val="20"/>
        </w:rPr>
        <w:footnoteRef/>
      </w:r>
      <w:r w:rsidRPr="00961857">
        <w:rPr>
          <w:sz w:val="20"/>
        </w:rPr>
        <w:t xml:space="preserve"> </w:t>
      </w:r>
      <w:r w:rsidR="0057387A">
        <w:rPr>
          <w:rFonts w:hint="eastAsia"/>
          <w:sz w:val="20"/>
          <w:lang w:val="zh-CN"/>
        </w:rPr>
        <w:t>呈件</w:t>
      </w:r>
      <w:r w:rsidR="00F73003">
        <w:rPr>
          <w:rFonts w:hint="eastAsia"/>
          <w:sz w:val="20"/>
        </w:rPr>
        <w:t>全文</w:t>
      </w:r>
      <w:r w:rsidRPr="00961857">
        <w:rPr>
          <w:sz w:val="20"/>
          <w:lang w:val="zh-CN"/>
        </w:rPr>
        <w:t>见</w:t>
      </w:r>
      <w:hyperlink r:id="rId2" w:history="1">
        <w:r w:rsidRPr="00961857">
          <w:rPr>
            <w:rStyle w:val="Hyperlink"/>
            <w:sz w:val="20"/>
            <w:lang w:val="en-US"/>
          </w:rPr>
          <w:t>www.cbd.int/notifications/2025-033</w:t>
        </w:r>
      </w:hyperlink>
      <w:r w:rsidRPr="00961857">
        <w:rPr>
          <w:sz w:val="20"/>
          <w:lang w:val="zh-CN"/>
        </w:rPr>
        <w:t>。</w:t>
      </w:r>
    </w:p>
  </w:footnote>
  <w:footnote w:id="3">
    <w:p w14:paraId="2BCDC135" w14:textId="5CFECB6E" w:rsidR="00B50559" w:rsidRPr="00961857" w:rsidRDefault="00B50559">
      <w:pPr>
        <w:pStyle w:val="FootnoteText"/>
        <w:rPr>
          <w:sz w:val="20"/>
        </w:rPr>
      </w:pPr>
      <w:r w:rsidRPr="00961857">
        <w:rPr>
          <w:rStyle w:val="FootnoteReference"/>
          <w:sz w:val="20"/>
        </w:rPr>
        <w:footnoteRef/>
      </w:r>
      <w:r w:rsidRPr="00961857">
        <w:rPr>
          <w:sz w:val="20"/>
        </w:rPr>
        <w:t xml:space="preserve"> </w:t>
      </w:r>
      <w:r w:rsidRPr="00961857">
        <w:rPr>
          <w:sz w:val="20"/>
          <w:lang w:val="zh-CN"/>
        </w:rPr>
        <w:t>多民族玻利维亚国、丹麦（代表欧盟及其成员国）、埃及（代表埃及</w:t>
      </w:r>
      <w:r w:rsidR="00E4425E">
        <w:rPr>
          <w:rFonts w:hint="eastAsia"/>
          <w:sz w:val="20"/>
          <w:lang w:val="zh-CN"/>
        </w:rPr>
        <w:t>本国</w:t>
      </w:r>
      <w:r w:rsidRPr="00961857">
        <w:rPr>
          <w:sz w:val="20"/>
          <w:lang w:val="zh-CN"/>
        </w:rPr>
        <w:t>和非洲谈判代表小组）、日本、纳米比亚、挪威、南非、瑞士和大不列颠及北爱尔兰联合王国。</w:t>
      </w:r>
    </w:p>
  </w:footnote>
  <w:footnote w:id="4">
    <w:p w14:paraId="0F79E89F" w14:textId="77777777" w:rsidR="00B50559" w:rsidRPr="00961857" w:rsidRDefault="00B50559">
      <w:pPr>
        <w:pStyle w:val="FootnoteText"/>
        <w:rPr>
          <w:sz w:val="20"/>
        </w:rPr>
      </w:pPr>
      <w:r w:rsidRPr="00961857">
        <w:rPr>
          <w:rStyle w:val="FootnoteReference"/>
          <w:sz w:val="20"/>
        </w:rPr>
        <w:footnoteRef/>
      </w:r>
      <w:r w:rsidRPr="00961857">
        <w:rPr>
          <w:sz w:val="20"/>
        </w:rPr>
        <w:t xml:space="preserve"> </w:t>
      </w:r>
      <w:r w:rsidRPr="00961857">
        <w:rPr>
          <w:sz w:val="20"/>
          <w:lang w:val="zh-CN"/>
        </w:rPr>
        <w:t>澳大利亚和加拿大。</w:t>
      </w:r>
    </w:p>
  </w:footnote>
  <w:footnote w:id="5">
    <w:p w14:paraId="52DDD17C" w14:textId="77777777" w:rsidR="00B50559" w:rsidRDefault="00B50559">
      <w:pPr>
        <w:pStyle w:val="FootnoteText"/>
        <w:rPr>
          <w:sz w:val="20"/>
        </w:rPr>
      </w:pPr>
      <w:r w:rsidRPr="00961857">
        <w:rPr>
          <w:rStyle w:val="FootnoteReference"/>
          <w:sz w:val="20"/>
        </w:rPr>
        <w:footnoteRef/>
      </w:r>
      <w:r w:rsidRPr="00961857">
        <w:rPr>
          <w:sz w:val="20"/>
        </w:rPr>
        <w:t xml:space="preserve"> </w:t>
      </w:r>
      <w:r w:rsidRPr="00961857">
        <w:rPr>
          <w:sz w:val="20"/>
          <w:lang w:val="zh-CN"/>
        </w:rPr>
        <w:t>DMUN</w:t>
      </w:r>
      <w:r w:rsidRPr="00961857">
        <w:rPr>
          <w:sz w:val="20"/>
          <w:lang w:val="zh-CN"/>
        </w:rPr>
        <w:t>基金会、</w:t>
      </w:r>
      <w:r w:rsidRPr="00961857">
        <w:rPr>
          <w:sz w:val="20"/>
          <w:lang w:val="zh-CN"/>
        </w:rPr>
        <w:t>Euroseeds</w:t>
      </w:r>
      <w:r w:rsidRPr="00961857">
        <w:rPr>
          <w:sz w:val="20"/>
          <w:lang w:val="zh-CN"/>
        </w:rPr>
        <w:t>、德国植物育种者协会、</w:t>
      </w:r>
      <w:r w:rsidRPr="00961857">
        <w:rPr>
          <w:sz w:val="20"/>
          <w:lang w:val="zh-CN"/>
        </w:rPr>
        <w:t>HATOF</w:t>
      </w:r>
      <w:r w:rsidRPr="00961857">
        <w:rPr>
          <w:sz w:val="20"/>
          <w:lang w:val="zh-CN"/>
        </w:rPr>
        <w:t>基金会、国际制药商协会联合会、</w:t>
      </w:r>
      <w:r w:rsidRPr="00961857">
        <w:rPr>
          <w:sz w:val="20"/>
          <w:lang w:val="zh-CN"/>
        </w:rPr>
        <w:t>SynBio Africa</w:t>
      </w:r>
      <w:r w:rsidRPr="00961857">
        <w:rPr>
          <w:sz w:val="20"/>
          <w:lang w:val="zh-CN"/>
        </w:rPr>
        <w:t>和第三世</w:t>
      </w:r>
      <w:r>
        <w:rPr>
          <w:sz w:val="20"/>
          <w:lang w:val="zh-CN"/>
        </w:rPr>
        <w:t>界网络。</w:t>
      </w:r>
    </w:p>
  </w:footnote>
  <w:footnote w:id="6">
    <w:p w14:paraId="22BA64F4" w14:textId="77777777" w:rsidR="00B50559" w:rsidRDefault="00B50559">
      <w:pPr>
        <w:pStyle w:val="FootnoteText"/>
        <w:rPr>
          <w:rFonts w:ascii="SimSun" w:hAnsi="SimSun"/>
          <w:sz w:val="20"/>
        </w:rPr>
      </w:pPr>
      <w:r>
        <w:rPr>
          <w:rStyle w:val="FootnoteReference"/>
          <w:rFonts w:ascii="SimSun" w:hAnsi="SimSun"/>
          <w:sz w:val="20"/>
        </w:rPr>
        <w:footnoteRef/>
      </w:r>
      <w:r>
        <w:rPr>
          <w:rFonts w:ascii="SimSun" w:hAnsi="SimSun"/>
          <w:sz w:val="20"/>
        </w:rPr>
        <w:t xml:space="preserve"> </w:t>
      </w:r>
      <w:r>
        <w:rPr>
          <w:rFonts w:ascii="SimSun" w:hAnsi="SimSun" w:hint="eastAsia"/>
          <w:sz w:val="20"/>
          <w:lang w:val="zh-CN"/>
        </w:rPr>
        <w:t>联合国，《条约汇编》，第</w:t>
      </w:r>
      <w:r>
        <w:rPr>
          <w:rFonts w:ascii="SimSun" w:hAnsi="SimSun"/>
          <w:sz w:val="20"/>
          <w:lang w:val="zh-CN"/>
        </w:rPr>
        <w:t>3008</w:t>
      </w:r>
      <w:r>
        <w:rPr>
          <w:rFonts w:ascii="SimSun" w:hAnsi="SimSun" w:hint="eastAsia"/>
          <w:sz w:val="20"/>
          <w:lang w:val="zh-CN"/>
        </w:rPr>
        <w:t>卷，第</w:t>
      </w:r>
      <w:r>
        <w:rPr>
          <w:rFonts w:ascii="SimSun" w:hAnsi="SimSun"/>
          <w:sz w:val="20"/>
          <w:lang w:val="zh-CN"/>
        </w:rPr>
        <w:t>30619</w:t>
      </w:r>
      <w:r>
        <w:rPr>
          <w:rFonts w:ascii="SimSun" w:hAnsi="SimSun" w:hint="eastAsia"/>
          <w:sz w:val="20"/>
          <w:lang w:val="zh-CN"/>
        </w:rPr>
        <w:t>号。</w:t>
      </w:r>
    </w:p>
  </w:footnote>
  <w:footnote w:id="7">
    <w:p w14:paraId="63BFB57D" w14:textId="77777777" w:rsidR="00B50559" w:rsidRPr="00961857" w:rsidRDefault="00B50559">
      <w:pPr>
        <w:pStyle w:val="FootnoteText"/>
        <w:rPr>
          <w:sz w:val="20"/>
        </w:rPr>
      </w:pPr>
      <w:r w:rsidRPr="00961857">
        <w:rPr>
          <w:rStyle w:val="FootnoteReference"/>
          <w:sz w:val="20"/>
        </w:rPr>
        <w:footnoteRef/>
      </w:r>
      <w:r w:rsidRPr="00961857">
        <w:rPr>
          <w:sz w:val="20"/>
        </w:rPr>
        <w:t xml:space="preserve"> </w:t>
      </w:r>
      <w:r w:rsidRPr="00961857">
        <w:rPr>
          <w:rFonts w:hint="eastAsia"/>
          <w:sz w:val="20"/>
          <w:lang w:val="zh-CN"/>
        </w:rPr>
        <w:t>同上。</w:t>
      </w:r>
    </w:p>
  </w:footnote>
  <w:footnote w:id="8">
    <w:p w14:paraId="4CA255E0" w14:textId="77777777" w:rsidR="00B50559" w:rsidRDefault="00B50559">
      <w:pPr>
        <w:pStyle w:val="FootnoteText"/>
        <w:rPr>
          <w:rFonts w:ascii="SimSun" w:hAnsi="SimSun"/>
          <w:sz w:val="20"/>
        </w:rPr>
      </w:pPr>
      <w:r>
        <w:rPr>
          <w:rStyle w:val="FootnoteReference"/>
          <w:rFonts w:ascii="SimSun" w:hAnsi="SimSun"/>
          <w:sz w:val="20"/>
        </w:rPr>
        <w:footnoteRef/>
      </w:r>
      <w:r>
        <w:rPr>
          <w:rFonts w:ascii="SimSun" w:hAnsi="SimSun"/>
          <w:sz w:val="20"/>
        </w:rPr>
        <w:t xml:space="preserve"> </w:t>
      </w:r>
      <w:r>
        <w:rPr>
          <w:rFonts w:ascii="SimSun" w:hAnsi="SimSun"/>
          <w:sz w:val="20"/>
          <w:lang w:val="zh-CN"/>
        </w:rPr>
        <w:t>“尊重与备案”混合模式是指一种战略性治理方法，它将缔约方领导下的自由裁量权（尊重）与结构化和透明的程序（备案）相结合，可用于根据《名古屋议定书》第4条第4款审查和认可遗传资源获取和惠益分享专门性国际文书。</w:t>
      </w:r>
    </w:p>
  </w:footnote>
  <w:footnote w:id="9">
    <w:p w14:paraId="0AC54792" w14:textId="77777777" w:rsidR="00B50559" w:rsidRDefault="00B50559">
      <w:pPr>
        <w:pStyle w:val="FootnoteText"/>
        <w:rPr>
          <w:rFonts w:ascii="SimSun" w:hAnsi="SimSun"/>
          <w:sz w:val="20"/>
        </w:rPr>
      </w:pPr>
      <w:r>
        <w:rPr>
          <w:rStyle w:val="FootnoteReference"/>
          <w:rFonts w:ascii="SimSun" w:hAnsi="SimSun"/>
          <w:sz w:val="20"/>
        </w:rPr>
        <w:footnoteRef/>
      </w:r>
      <w:r>
        <w:rPr>
          <w:rFonts w:ascii="SimSun" w:hAnsi="SimSun"/>
          <w:sz w:val="20"/>
        </w:rPr>
        <w:t xml:space="preserve"> </w:t>
      </w:r>
      <w:r>
        <w:rPr>
          <w:rFonts w:ascii="SimSun" w:hAnsi="SimSun"/>
          <w:sz w:val="20"/>
          <w:lang w:val="zh-CN"/>
        </w:rPr>
        <w:t>联合国，《条约汇编》，第1760卷，第30619号。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5EF3" w14:textId="77777777" w:rsidR="00B50559" w:rsidRDefault="00B50559">
    <w:pPr>
      <w:pStyle w:val="Header"/>
      <w:spacing w:after="240"/>
      <w:rPr>
        <w:szCs w:val="24"/>
      </w:rPr>
    </w:pPr>
    <w:r>
      <w:rPr>
        <w:szCs w:val="24"/>
      </w:rPr>
      <w:t>CBD/SBI/6/8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4E312" w14:textId="77777777" w:rsidR="00B50559" w:rsidRDefault="00B50559">
    <w:pPr>
      <w:pStyle w:val="Header"/>
      <w:spacing w:after="240"/>
      <w:jc w:val="right"/>
      <w:rPr>
        <w:szCs w:val="24"/>
      </w:rPr>
    </w:pPr>
    <w:r>
      <w:rPr>
        <w:szCs w:val="24"/>
      </w:rPr>
      <w:t>CBD/SBI/6/8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AF67A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3EA6F5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FCC6E6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5C05E86"/>
    <w:lvl w:ilvl="0">
      <w:start w:val="1"/>
      <w:numFmt w:val="decimal"/>
      <w:lvlText w:val="%1."/>
      <w:lvlJc w:val="left"/>
      <w:pPr>
        <w:tabs>
          <w:tab w:val="num" w:pos="780"/>
        </w:tabs>
        <w:ind w:left="780" w:hanging="360"/>
      </w:pPr>
      <w:rPr>
        <w:rFonts w:cs="Times New Roman"/>
      </w:rPr>
    </w:lvl>
  </w:abstractNum>
  <w:abstractNum w:abstractNumId="4" w15:restartNumberingAfterBreak="0">
    <w:nsid w:val="FFFFFF80"/>
    <w:multiLevelType w:val="singleLevel"/>
    <w:tmpl w:val="8426450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89072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3248D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ADC442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7F2CD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AF027FE"/>
    <w:lvl w:ilvl="0">
      <w:start w:val="1"/>
      <w:numFmt w:val="bullet"/>
      <w:pStyle w:val="CBDNormalNumber"/>
      <w:lvlText w:val=""/>
      <w:lvlJc w:val="left"/>
      <w:pPr>
        <w:tabs>
          <w:tab w:val="num" w:pos="360"/>
        </w:tabs>
        <w:ind w:left="360" w:hanging="360"/>
      </w:pPr>
      <w:rPr>
        <w:rFonts w:ascii="Symbol" w:hAnsi="Symbol" w:hint="default"/>
      </w:rPr>
    </w:lvl>
  </w:abstractNum>
  <w:abstractNum w:abstractNumId="10"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827479558">
    <w:abstractNumId w:val="9"/>
  </w:num>
  <w:num w:numId="2" w16cid:durableId="1967003595">
    <w:abstractNumId w:val="7"/>
  </w:num>
  <w:num w:numId="3" w16cid:durableId="1501581560">
    <w:abstractNumId w:val="6"/>
  </w:num>
  <w:num w:numId="4" w16cid:durableId="1745377441">
    <w:abstractNumId w:val="5"/>
  </w:num>
  <w:num w:numId="5" w16cid:durableId="9529030">
    <w:abstractNumId w:val="4"/>
  </w:num>
  <w:num w:numId="6" w16cid:durableId="862011637">
    <w:abstractNumId w:val="8"/>
  </w:num>
  <w:num w:numId="7" w16cid:durableId="450830376">
    <w:abstractNumId w:val="3"/>
  </w:num>
  <w:num w:numId="8" w16cid:durableId="1507207600">
    <w:abstractNumId w:val="2"/>
  </w:num>
  <w:num w:numId="9" w16cid:durableId="2112116602">
    <w:abstractNumId w:val="1"/>
  </w:num>
  <w:num w:numId="10" w16cid:durableId="648678360">
    <w:abstractNumId w:val="0"/>
  </w:num>
  <w:num w:numId="11" w16cid:durableId="1157846930">
    <w:abstractNumId w:val="3"/>
  </w:num>
  <w:num w:numId="12" w16cid:durableId="352388881">
    <w:abstractNumId w:val="12"/>
  </w:num>
  <w:num w:numId="13" w16cid:durableId="772287526">
    <w:abstractNumId w:val="10"/>
  </w:num>
  <w:num w:numId="14" w16cid:durableId="1402865993">
    <w:abstractNumId w:val="15"/>
  </w:num>
  <w:num w:numId="15" w16cid:durableId="224412321">
    <w:abstractNumId w:val="16"/>
  </w:num>
  <w:num w:numId="16" w16cid:durableId="644047446">
    <w:abstractNumId w:val="11"/>
  </w:num>
  <w:num w:numId="17" w16cid:durableId="15885549">
    <w:abstractNumId w:val="14"/>
  </w:num>
  <w:num w:numId="18" w16cid:durableId="633021903">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attachedTemplate r:id="rId1"/>
  <w:doNotTrackMoves/>
  <w:defaultTabStop w:val="720"/>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40A28"/>
    <w:rsid w:val="00004CB0"/>
    <w:rsid w:val="00011556"/>
    <w:rsid w:val="000120C1"/>
    <w:rsid w:val="00012E38"/>
    <w:rsid w:val="00023372"/>
    <w:rsid w:val="0002368E"/>
    <w:rsid w:val="00025E1B"/>
    <w:rsid w:val="00030845"/>
    <w:rsid w:val="00030DA7"/>
    <w:rsid w:val="000322AF"/>
    <w:rsid w:val="000325F2"/>
    <w:rsid w:val="000347B2"/>
    <w:rsid w:val="0003517F"/>
    <w:rsid w:val="00035AD7"/>
    <w:rsid w:val="00035BAB"/>
    <w:rsid w:val="00036432"/>
    <w:rsid w:val="00036BD6"/>
    <w:rsid w:val="00036F46"/>
    <w:rsid w:val="00037253"/>
    <w:rsid w:val="00037AE7"/>
    <w:rsid w:val="00041A8A"/>
    <w:rsid w:val="00041AF7"/>
    <w:rsid w:val="00044DB3"/>
    <w:rsid w:val="000451B7"/>
    <w:rsid w:val="00045426"/>
    <w:rsid w:val="000465AF"/>
    <w:rsid w:val="00047997"/>
    <w:rsid w:val="00051A38"/>
    <w:rsid w:val="0005240F"/>
    <w:rsid w:val="00052CA3"/>
    <w:rsid w:val="0005329A"/>
    <w:rsid w:val="0005464B"/>
    <w:rsid w:val="00054755"/>
    <w:rsid w:val="0005575F"/>
    <w:rsid w:val="00055EEE"/>
    <w:rsid w:val="00057676"/>
    <w:rsid w:val="000601B9"/>
    <w:rsid w:val="0006057C"/>
    <w:rsid w:val="000605A7"/>
    <w:rsid w:val="00060848"/>
    <w:rsid w:val="00061209"/>
    <w:rsid w:val="00063FE7"/>
    <w:rsid w:val="000644FF"/>
    <w:rsid w:val="00064713"/>
    <w:rsid w:val="00066B9E"/>
    <w:rsid w:val="00067502"/>
    <w:rsid w:val="00067B9E"/>
    <w:rsid w:val="00070986"/>
    <w:rsid w:val="00070CC4"/>
    <w:rsid w:val="00071070"/>
    <w:rsid w:val="0007171B"/>
    <w:rsid w:val="00072268"/>
    <w:rsid w:val="000741A8"/>
    <w:rsid w:val="00083591"/>
    <w:rsid w:val="00090D86"/>
    <w:rsid w:val="00092F56"/>
    <w:rsid w:val="0009443D"/>
    <w:rsid w:val="000955AC"/>
    <w:rsid w:val="000955FC"/>
    <w:rsid w:val="00095991"/>
    <w:rsid w:val="00097578"/>
    <w:rsid w:val="00097D1B"/>
    <w:rsid w:val="000A068E"/>
    <w:rsid w:val="000A0ABB"/>
    <w:rsid w:val="000A3292"/>
    <w:rsid w:val="000A3B66"/>
    <w:rsid w:val="000A3C09"/>
    <w:rsid w:val="000A423F"/>
    <w:rsid w:val="000A5304"/>
    <w:rsid w:val="000A5BFE"/>
    <w:rsid w:val="000A6B99"/>
    <w:rsid w:val="000A77F8"/>
    <w:rsid w:val="000B1623"/>
    <w:rsid w:val="000B79CC"/>
    <w:rsid w:val="000C0F58"/>
    <w:rsid w:val="000C1B2F"/>
    <w:rsid w:val="000C42B1"/>
    <w:rsid w:val="000C6E1F"/>
    <w:rsid w:val="000D0CFC"/>
    <w:rsid w:val="000D0F68"/>
    <w:rsid w:val="000D10C8"/>
    <w:rsid w:val="000D2700"/>
    <w:rsid w:val="000D2E92"/>
    <w:rsid w:val="000D48DF"/>
    <w:rsid w:val="000D58B8"/>
    <w:rsid w:val="000D5A8B"/>
    <w:rsid w:val="000D650C"/>
    <w:rsid w:val="000D67FF"/>
    <w:rsid w:val="000D70F5"/>
    <w:rsid w:val="000E00FE"/>
    <w:rsid w:val="000E0CF8"/>
    <w:rsid w:val="000E17EC"/>
    <w:rsid w:val="000E29BE"/>
    <w:rsid w:val="000E323E"/>
    <w:rsid w:val="000E3A54"/>
    <w:rsid w:val="000E4AED"/>
    <w:rsid w:val="000E673A"/>
    <w:rsid w:val="000E6BC9"/>
    <w:rsid w:val="000E6C07"/>
    <w:rsid w:val="000F0962"/>
    <w:rsid w:val="000F2165"/>
    <w:rsid w:val="000F3722"/>
    <w:rsid w:val="000F3E54"/>
    <w:rsid w:val="000F59E1"/>
    <w:rsid w:val="000F60BE"/>
    <w:rsid w:val="000F6945"/>
    <w:rsid w:val="000F74F5"/>
    <w:rsid w:val="000F78FC"/>
    <w:rsid w:val="00100CE6"/>
    <w:rsid w:val="00102188"/>
    <w:rsid w:val="00102FED"/>
    <w:rsid w:val="00105372"/>
    <w:rsid w:val="001054A6"/>
    <w:rsid w:val="00105ED7"/>
    <w:rsid w:val="00106899"/>
    <w:rsid w:val="001078A1"/>
    <w:rsid w:val="0011679D"/>
    <w:rsid w:val="00116A70"/>
    <w:rsid w:val="001217E9"/>
    <w:rsid w:val="00123F27"/>
    <w:rsid w:val="00125CA9"/>
    <w:rsid w:val="001261AE"/>
    <w:rsid w:val="00126746"/>
    <w:rsid w:val="0012697D"/>
    <w:rsid w:val="001302B9"/>
    <w:rsid w:val="001312AD"/>
    <w:rsid w:val="00131E7A"/>
    <w:rsid w:val="00132407"/>
    <w:rsid w:val="00132E30"/>
    <w:rsid w:val="00133E97"/>
    <w:rsid w:val="001341A7"/>
    <w:rsid w:val="0013467D"/>
    <w:rsid w:val="00134846"/>
    <w:rsid w:val="00134E53"/>
    <w:rsid w:val="001373EB"/>
    <w:rsid w:val="001377F8"/>
    <w:rsid w:val="00137DD1"/>
    <w:rsid w:val="001406DC"/>
    <w:rsid w:val="001417A0"/>
    <w:rsid w:val="001446DA"/>
    <w:rsid w:val="00144BF3"/>
    <w:rsid w:val="001467B2"/>
    <w:rsid w:val="00150176"/>
    <w:rsid w:val="0015306F"/>
    <w:rsid w:val="00153AF0"/>
    <w:rsid w:val="00154219"/>
    <w:rsid w:val="001550EB"/>
    <w:rsid w:val="00155C59"/>
    <w:rsid w:val="00155DE4"/>
    <w:rsid w:val="00163EA5"/>
    <w:rsid w:val="00163EA8"/>
    <w:rsid w:val="0016517C"/>
    <w:rsid w:val="00165922"/>
    <w:rsid w:val="00166E93"/>
    <w:rsid w:val="001700F8"/>
    <w:rsid w:val="00170E7A"/>
    <w:rsid w:val="00171383"/>
    <w:rsid w:val="0017166A"/>
    <w:rsid w:val="00172AF6"/>
    <w:rsid w:val="00172BEE"/>
    <w:rsid w:val="00176A21"/>
    <w:rsid w:val="00176CEE"/>
    <w:rsid w:val="001770AE"/>
    <w:rsid w:val="00177FD3"/>
    <w:rsid w:val="0018154E"/>
    <w:rsid w:val="001827A2"/>
    <w:rsid w:val="001833E7"/>
    <w:rsid w:val="00184017"/>
    <w:rsid w:val="0018507C"/>
    <w:rsid w:val="00185A7D"/>
    <w:rsid w:val="00186317"/>
    <w:rsid w:val="00186A96"/>
    <w:rsid w:val="00186DD8"/>
    <w:rsid w:val="001914CD"/>
    <w:rsid w:val="00191991"/>
    <w:rsid w:val="00191A3A"/>
    <w:rsid w:val="0019216C"/>
    <w:rsid w:val="00193B3C"/>
    <w:rsid w:val="001972A3"/>
    <w:rsid w:val="001A0E99"/>
    <w:rsid w:val="001A326C"/>
    <w:rsid w:val="001A35EC"/>
    <w:rsid w:val="001A4796"/>
    <w:rsid w:val="001A4E91"/>
    <w:rsid w:val="001A504F"/>
    <w:rsid w:val="001B13FE"/>
    <w:rsid w:val="001B42DF"/>
    <w:rsid w:val="001B4AAF"/>
    <w:rsid w:val="001B5084"/>
    <w:rsid w:val="001B5F14"/>
    <w:rsid w:val="001B69E6"/>
    <w:rsid w:val="001B6E4A"/>
    <w:rsid w:val="001C22E0"/>
    <w:rsid w:val="001C6E91"/>
    <w:rsid w:val="001D0605"/>
    <w:rsid w:val="001D17FB"/>
    <w:rsid w:val="001D3DAD"/>
    <w:rsid w:val="001D424F"/>
    <w:rsid w:val="001D5797"/>
    <w:rsid w:val="001E1B93"/>
    <w:rsid w:val="001E43D9"/>
    <w:rsid w:val="001E4785"/>
    <w:rsid w:val="001E5049"/>
    <w:rsid w:val="001E5F12"/>
    <w:rsid w:val="001E6668"/>
    <w:rsid w:val="001E6EB1"/>
    <w:rsid w:val="001E7DDA"/>
    <w:rsid w:val="001F1C9A"/>
    <w:rsid w:val="001F2164"/>
    <w:rsid w:val="001F433B"/>
    <w:rsid w:val="001F4EC7"/>
    <w:rsid w:val="001F59FE"/>
    <w:rsid w:val="001F6A22"/>
    <w:rsid w:val="001F6AB8"/>
    <w:rsid w:val="001F778E"/>
    <w:rsid w:val="002027A7"/>
    <w:rsid w:val="002034AF"/>
    <w:rsid w:val="00206B76"/>
    <w:rsid w:val="00206D85"/>
    <w:rsid w:val="0021006B"/>
    <w:rsid w:val="00212084"/>
    <w:rsid w:val="002127B8"/>
    <w:rsid w:val="00212E27"/>
    <w:rsid w:val="002138D4"/>
    <w:rsid w:val="0021487F"/>
    <w:rsid w:val="00216467"/>
    <w:rsid w:val="00217139"/>
    <w:rsid w:val="00220F3C"/>
    <w:rsid w:val="0022109C"/>
    <w:rsid w:val="00221B9F"/>
    <w:rsid w:val="00222097"/>
    <w:rsid w:val="0022240B"/>
    <w:rsid w:val="00225472"/>
    <w:rsid w:val="00226722"/>
    <w:rsid w:val="00227288"/>
    <w:rsid w:val="00227E52"/>
    <w:rsid w:val="00230C15"/>
    <w:rsid w:val="00231729"/>
    <w:rsid w:val="0023180E"/>
    <w:rsid w:val="002321E3"/>
    <w:rsid w:val="002348CD"/>
    <w:rsid w:val="00235535"/>
    <w:rsid w:val="00240D83"/>
    <w:rsid w:val="00243C06"/>
    <w:rsid w:val="002445DA"/>
    <w:rsid w:val="00246845"/>
    <w:rsid w:val="002512A9"/>
    <w:rsid w:val="00251424"/>
    <w:rsid w:val="00253636"/>
    <w:rsid w:val="002556AD"/>
    <w:rsid w:val="00260696"/>
    <w:rsid w:val="002647AF"/>
    <w:rsid w:val="00264CA9"/>
    <w:rsid w:val="00264E34"/>
    <w:rsid w:val="00265F94"/>
    <w:rsid w:val="0027072C"/>
    <w:rsid w:val="002716AE"/>
    <w:rsid w:val="00271B37"/>
    <w:rsid w:val="0027338B"/>
    <w:rsid w:val="00275C5A"/>
    <w:rsid w:val="002766AC"/>
    <w:rsid w:val="0028022E"/>
    <w:rsid w:val="00280D2C"/>
    <w:rsid w:val="002814AD"/>
    <w:rsid w:val="002826F6"/>
    <w:rsid w:val="002833A1"/>
    <w:rsid w:val="00291F96"/>
    <w:rsid w:val="00294426"/>
    <w:rsid w:val="0029514C"/>
    <w:rsid w:val="00295184"/>
    <w:rsid w:val="002A26D5"/>
    <w:rsid w:val="002A3BFC"/>
    <w:rsid w:val="002A49BB"/>
    <w:rsid w:val="002A6278"/>
    <w:rsid w:val="002A6A0D"/>
    <w:rsid w:val="002A774E"/>
    <w:rsid w:val="002B0601"/>
    <w:rsid w:val="002B0EB7"/>
    <w:rsid w:val="002B1D95"/>
    <w:rsid w:val="002B1FB7"/>
    <w:rsid w:val="002B3066"/>
    <w:rsid w:val="002B41BB"/>
    <w:rsid w:val="002B682D"/>
    <w:rsid w:val="002B6DC4"/>
    <w:rsid w:val="002B7265"/>
    <w:rsid w:val="002B77E5"/>
    <w:rsid w:val="002B7B1E"/>
    <w:rsid w:val="002C0516"/>
    <w:rsid w:val="002C0EA8"/>
    <w:rsid w:val="002C3B97"/>
    <w:rsid w:val="002C4554"/>
    <w:rsid w:val="002C4CB8"/>
    <w:rsid w:val="002C4DD3"/>
    <w:rsid w:val="002C60CE"/>
    <w:rsid w:val="002D16BB"/>
    <w:rsid w:val="002D1D9A"/>
    <w:rsid w:val="002D2449"/>
    <w:rsid w:val="002D2470"/>
    <w:rsid w:val="002D5269"/>
    <w:rsid w:val="002D5DB9"/>
    <w:rsid w:val="002D7659"/>
    <w:rsid w:val="002E0BF2"/>
    <w:rsid w:val="002E5279"/>
    <w:rsid w:val="002E6E0D"/>
    <w:rsid w:val="002E7777"/>
    <w:rsid w:val="002E7828"/>
    <w:rsid w:val="002E7E9B"/>
    <w:rsid w:val="002F16F9"/>
    <w:rsid w:val="002F1BBF"/>
    <w:rsid w:val="002F2BB7"/>
    <w:rsid w:val="002F479E"/>
    <w:rsid w:val="002F5879"/>
    <w:rsid w:val="002F5D6D"/>
    <w:rsid w:val="002F5F32"/>
    <w:rsid w:val="002F74E7"/>
    <w:rsid w:val="0030081A"/>
    <w:rsid w:val="003008FE"/>
    <w:rsid w:val="0030169D"/>
    <w:rsid w:val="00301E73"/>
    <w:rsid w:val="00302DF9"/>
    <w:rsid w:val="0030309A"/>
    <w:rsid w:val="003049AD"/>
    <w:rsid w:val="0030516D"/>
    <w:rsid w:val="003060EB"/>
    <w:rsid w:val="00307738"/>
    <w:rsid w:val="00307D79"/>
    <w:rsid w:val="00310AF6"/>
    <w:rsid w:val="00311690"/>
    <w:rsid w:val="00311A1F"/>
    <w:rsid w:val="00312550"/>
    <w:rsid w:val="00313573"/>
    <w:rsid w:val="003137E2"/>
    <w:rsid w:val="003139E6"/>
    <w:rsid w:val="0031419D"/>
    <w:rsid w:val="00314FFE"/>
    <w:rsid w:val="003153EB"/>
    <w:rsid w:val="00316918"/>
    <w:rsid w:val="00321985"/>
    <w:rsid w:val="00324924"/>
    <w:rsid w:val="00325198"/>
    <w:rsid w:val="00325914"/>
    <w:rsid w:val="00325D42"/>
    <w:rsid w:val="00325D78"/>
    <w:rsid w:val="00327487"/>
    <w:rsid w:val="0033343C"/>
    <w:rsid w:val="00334AA8"/>
    <w:rsid w:val="00335529"/>
    <w:rsid w:val="0033598F"/>
    <w:rsid w:val="00336023"/>
    <w:rsid w:val="003365B0"/>
    <w:rsid w:val="0033768D"/>
    <w:rsid w:val="00340C62"/>
    <w:rsid w:val="003416AE"/>
    <w:rsid w:val="00341F6D"/>
    <w:rsid w:val="00342233"/>
    <w:rsid w:val="003424CC"/>
    <w:rsid w:val="0034334A"/>
    <w:rsid w:val="003445D5"/>
    <w:rsid w:val="0034564D"/>
    <w:rsid w:val="003467C7"/>
    <w:rsid w:val="00347C7D"/>
    <w:rsid w:val="00351205"/>
    <w:rsid w:val="00351F0F"/>
    <w:rsid w:val="003534D0"/>
    <w:rsid w:val="00353EB4"/>
    <w:rsid w:val="00353F47"/>
    <w:rsid w:val="00356655"/>
    <w:rsid w:val="00362328"/>
    <w:rsid w:val="00362DA0"/>
    <w:rsid w:val="00363A3D"/>
    <w:rsid w:val="0036788F"/>
    <w:rsid w:val="00367C23"/>
    <w:rsid w:val="003708DF"/>
    <w:rsid w:val="003726AF"/>
    <w:rsid w:val="00372B8D"/>
    <w:rsid w:val="00372F74"/>
    <w:rsid w:val="00376FAE"/>
    <w:rsid w:val="00377772"/>
    <w:rsid w:val="003841A1"/>
    <w:rsid w:val="00384C19"/>
    <w:rsid w:val="00385654"/>
    <w:rsid w:val="00386C4D"/>
    <w:rsid w:val="00387CD3"/>
    <w:rsid w:val="003904B3"/>
    <w:rsid w:val="00391FF8"/>
    <w:rsid w:val="0039298E"/>
    <w:rsid w:val="0039494F"/>
    <w:rsid w:val="00396C9E"/>
    <w:rsid w:val="003A0A94"/>
    <w:rsid w:val="003A2BAE"/>
    <w:rsid w:val="003A2E07"/>
    <w:rsid w:val="003A6AE6"/>
    <w:rsid w:val="003B1F03"/>
    <w:rsid w:val="003B6664"/>
    <w:rsid w:val="003B7061"/>
    <w:rsid w:val="003B7CE7"/>
    <w:rsid w:val="003C1CFC"/>
    <w:rsid w:val="003C6A77"/>
    <w:rsid w:val="003C6F3E"/>
    <w:rsid w:val="003D09B6"/>
    <w:rsid w:val="003D1ECC"/>
    <w:rsid w:val="003D3BFB"/>
    <w:rsid w:val="003D416C"/>
    <w:rsid w:val="003E0C99"/>
    <w:rsid w:val="003E2F56"/>
    <w:rsid w:val="003E4104"/>
    <w:rsid w:val="003E5A00"/>
    <w:rsid w:val="003F12B5"/>
    <w:rsid w:val="003F1E6A"/>
    <w:rsid w:val="003F424D"/>
    <w:rsid w:val="003F61CA"/>
    <w:rsid w:val="003F7224"/>
    <w:rsid w:val="004002A4"/>
    <w:rsid w:val="004006F5"/>
    <w:rsid w:val="00400DF4"/>
    <w:rsid w:val="0040177D"/>
    <w:rsid w:val="00404B17"/>
    <w:rsid w:val="00405F6D"/>
    <w:rsid w:val="004071DA"/>
    <w:rsid w:val="004105FB"/>
    <w:rsid w:val="00411746"/>
    <w:rsid w:val="00416C68"/>
    <w:rsid w:val="00416CE7"/>
    <w:rsid w:val="004178B8"/>
    <w:rsid w:val="00420555"/>
    <w:rsid w:val="00420BA9"/>
    <w:rsid w:val="00422868"/>
    <w:rsid w:val="00422D15"/>
    <w:rsid w:val="00422EA9"/>
    <w:rsid w:val="0042544D"/>
    <w:rsid w:val="0042737D"/>
    <w:rsid w:val="00427D21"/>
    <w:rsid w:val="004325B3"/>
    <w:rsid w:val="00433D2B"/>
    <w:rsid w:val="00435260"/>
    <w:rsid w:val="00437F23"/>
    <w:rsid w:val="00437F56"/>
    <w:rsid w:val="004403FF"/>
    <w:rsid w:val="00440D96"/>
    <w:rsid w:val="00440E9B"/>
    <w:rsid w:val="0044154A"/>
    <w:rsid w:val="004420C5"/>
    <w:rsid w:val="00443688"/>
    <w:rsid w:val="00443A2A"/>
    <w:rsid w:val="004447CA"/>
    <w:rsid w:val="0044589F"/>
    <w:rsid w:val="00447F4A"/>
    <w:rsid w:val="00451543"/>
    <w:rsid w:val="004523BF"/>
    <w:rsid w:val="00452EE3"/>
    <w:rsid w:val="00453D4D"/>
    <w:rsid w:val="004559CC"/>
    <w:rsid w:val="00455AF2"/>
    <w:rsid w:val="00456F67"/>
    <w:rsid w:val="00457201"/>
    <w:rsid w:val="00460875"/>
    <w:rsid w:val="004644C2"/>
    <w:rsid w:val="00464994"/>
    <w:rsid w:val="0046693A"/>
    <w:rsid w:val="00466B26"/>
    <w:rsid w:val="00467F9C"/>
    <w:rsid w:val="00471898"/>
    <w:rsid w:val="00474F92"/>
    <w:rsid w:val="00476886"/>
    <w:rsid w:val="00480182"/>
    <w:rsid w:val="004801FF"/>
    <w:rsid w:val="00480509"/>
    <w:rsid w:val="00486BEE"/>
    <w:rsid w:val="00490A1A"/>
    <w:rsid w:val="00493EDD"/>
    <w:rsid w:val="004943F3"/>
    <w:rsid w:val="004A35B5"/>
    <w:rsid w:val="004B03D5"/>
    <w:rsid w:val="004B061E"/>
    <w:rsid w:val="004B0B35"/>
    <w:rsid w:val="004B0CAB"/>
    <w:rsid w:val="004B3094"/>
    <w:rsid w:val="004B3A5A"/>
    <w:rsid w:val="004B4F0B"/>
    <w:rsid w:val="004B6E64"/>
    <w:rsid w:val="004B6FF2"/>
    <w:rsid w:val="004C20D5"/>
    <w:rsid w:val="004C28B6"/>
    <w:rsid w:val="004C4E9A"/>
    <w:rsid w:val="004C6953"/>
    <w:rsid w:val="004C7CC2"/>
    <w:rsid w:val="004D0FC1"/>
    <w:rsid w:val="004D2D92"/>
    <w:rsid w:val="004D4545"/>
    <w:rsid w:val="004D47BC"/>
    <w:rsid w:val="004D4D13"/>
    <w:rsid w:val="004D722B"/>
    <w:rsid w:val="004E30FE"/>
    <w:rsid w:val="004E365A"/>
    <w:rsid w:val="004E4B7A"/>
    <w:rsid w:val="004E726D"/>
    <w:rsid w:val="004E7538"/>
    <w:rsid w:val="004F1C6A"/>
    <w:rsid w:val="004F34CE"/>
    <w:rsid w:val="004F6236"/>
    <w:rsid w:val="004F7901"/>
    <w:rsid w:val="004F7B74"/>
    <w:rsid w:val="00500764"/>
    <w:rsid w:val="00500C37"/>
    <w:rsid w:val="00501938"/>
    <w:rsid w:val="00501C08"/>
    <w:rsid w:val="00501CB6"/>
    <w:rsid w:val="00503465"/>
    <w:rsid w:val="005045D0"/>
    <w:rsid w:val="00507EDF"/>
    <w:rsid w:val="0051006C"/>
    <w:rsid w:val="0051098C"/>
    <w:rsid w:val="00510B9E"/>
    <w:rsid w:val="00514D74"/>
    <w:rsid w:val="00514E72"/>
    <w:rsid w:val="0051561A"/>
    <w:rsid w:val="00516397"/>
    <w:rsid w:val="00522594"/>
    <w:rsid w:val="0052544A"/>
    <w:rsid w:val="005259B0"/>
    <w:rsid w:val="00525AAB"/>
    <w:rsid w:val="005278B4"/>
    <w:rsid w:val="00527ADC"/>
    <w:rsid w:val="00531A1F"/>
    <w:rsid w:val="005320AC"/>
    <w:rsid w:val="00533AAC"/>
    <w:rsid w:val="00534681"/>
    <w:rsid w:val="00536701"/>
    <w:rsid w:val="005369DF"/>
    <w:rsid w:val="005379C4"/>
    <w:rsid w:val="00537B76"/>
    <w:rsid w:val="005405B9"/>
    <w:rsid w:val="00540EB1"/>
    <w:rsid w:val="00542D89"/>
    <w:rsid w:val="00543752"/>
    <w:rsid w:val="00546994"/>
    <w:rsid w:val="00552A32"/>
    <w:rsid w:val="00553CC9"/>
    <w:rsid w:val="00553F87"/>
    <w:rsid w:val="0055426D"/>
    <w:rsid w:val="00556735"/>
    <w:rsid w:val="00557DAC"/>
    <w:rsid w:val="0056068E"/>
    <w:rsid w:val="00560E0A"/>
    <w:rsid w:val="00562D7F"/>
    <w:rsid w:val="00563442"/>
    <w:rsid w:val="0056348E"/>
    <w:rsid w:val="00563617"/>
    <w:rsid w:val="0056368D"/>
    <w:rsid w:val="005639F9"/>
    <w:rsid w:val="00565A04"/>
    <w:rsid w:val="00565B42"/>
    <w:rsid w:val="005662AB"/>
    <w:rsid w:val="00567DF4"/>
    <w:rsid w:val="00571B97"/>
    <w:rsid w:val="0057387A"/>
    <w:rsid w:val="0057444E"/>
    <w:rsid w:val="005762B5"/>
    <w:rsid w:val="0058370A"/>
    <w:rsid w:val="0058430F"/>
    <w:rsid w:val="005845D3"/>
    <w:rsid w:val="005848AA"/>
    <w:rsid w:val="00586470"/>
    <w:rsid w:val="00587356"/>
    <w:rsid w:val="00590C92"/>
    <w:rsid w:val="00590F26"/>
    <w:rsid w:val="0059312F"/>
    <w:rsid w:val="00593631"/>
    <w:rsid w:val="00593DF1"/>
    <w:rsid w:val="00594754"/>
    <w:rsid w:val="005974C0"/>
    <w:rsid w:val="005A059A"/>
    <w:rsid w:val="005A2C17"/>
    <w:rsid w:val="005A40F9"/>
    <w:rsid w:val="005A5F9A"/>
    <w:rsid w:val="005A7B20"/>
    <w:rsid w:val="005B1D00"/>
    <w:rsid w:val="005B35E2"/>
    <w:rsid w:val="005B35F4"/>
    <w:rsid w:val="005B7650"/>
    <w:rsid w:val="005C4CE6"/>
    <w:rsid w:val="005C77CA"/>
    <w:rsid w:val="005C7AE6"/>
    <w:rsid w:val="005C7B14"/>
    <w:rsid w:val="005D026C"/>
    <w:rsid w:val="005D0D63"/>
    <w:rsid w:val="005D2FE6"/>
    <w:rsid w:val="005D3CC6"/>
    <w:rsid w:val="005D49D3"/>
    <w:rsid w:val="005D4C6A"/>
    <w:rsid w:val="005D4DEA"/>
    <w:rsid w:val="005D5354"/>
    <w:rsid w:val="005D5728"/>
    <w:rsid w:val="005E0774"/>
    <w:rsid w:val="005E0C8D"/>
    <w:rsid w:val="005E0DB4"/>
    <w:rsid w:val="005E1FF8"/>
    <w:rsid w:val="005E2E37"/>
    <w:rsid w:val="005E3B4A"/>
    <w:rsid w:val="005E4631"/>
    <w:rsid w:val="005E4C8F"/>
    <w:rsid w:val="005E5576"/>
    <w:rsid w:val="005E5711"/>
    <w:rsid w:val="005E7EA4"/>
    <w:rsid w:val="005F0AED"/>
    <w:rsid w:val="005F0F46"/>
    <w:rsid w:val="005F108E"/>
    <w:rsid w:val="005F1F87"/>
    <w:rsid w:val="005F2DF0"/>
    <w:rsid w:val="005F34BA"/>
    <w:rsid w:val="005F5330"/>
    <w:rsid w:val="005F6937"/>
    <w:rsid w:val="005F6A75"/>
    <w:rsid w:val="00600A10"/>
    <w:rsid w:val="00600D7B"/>
    <w:rsid w:val="00603144"/>
    <w:rsid w:val="00603DCC"/>
    <w:rsid w:val="00605083"/>
    <w:rsid w:val="00605C22"/>
    <w:rsid w:val="00607D89"/>
    <w:rsid w:val="006103FE"/>
    <w:rsid w:val="0061064A"/>
    <w:rsid w:val="006122BA"/>
    <w:rsid w:val="00614850"/>
    <w:rsid w:val="00616475"/>
    <w:rsid w:val="0062090A"/>
    <w:rsid w:val="006213C6"/>
    <w:rsid w:val="00622561"/>
    <w:rsid w:val="00622D5A"/>
    <w:rsid w:val="006247E5"/>
    <w:rsid w:val="00624826"/>
    <w:rsid w:val="00625376"/>
    <w:rsid w:val="006273E0"/>
    <w:rsid w:val="00631EC5"/>
    <w:rsid w:val="0063290C"/>
    <w:rsid w:val="00634C00"/>
    <w:rsid w:val="00634F2F"/>
    <w:rsid w:val="006378C7"/>
    <w:rsid w:val="00637C13"/>
    <w:rsid w:val="0064056D"/>
    <w:rsid w:val="006409D7"/>
    <w:rsid w:val="00641AD2"/>
    <w:rsid w:val="0064266B"/>
    <w:rsid w:val="006433E1"/>
    <w:rsid w:val="0064705C"/>
    <w:rsid w:val="006478BF"/>
    <w:rsid w:val="00651AA3"/>
    <w:rsid w:val="00651EB6"/>
    <w:rsid w:val="00652272"/>
    <w:rsid w:val="0065265D"/>
    <w:rsid w:val="006544D5"/>
    <w:rsid w:val="006566A4"/>
    <w:rsid w:val="00656BAA"/>
    <w:rsid w:val="0065707A"/>
    <w:rsid w:val="00657BD6"/>
    <w:rsid w:val="00660B19"/>
    <w:rsid w:val="00661DA2"/>
    <w:rsid w:val="00663031"/>
    <w:rsid w:val="006630D9"/>
    <w:rsid w:val="00674E94"/>
    <w:rsid w:val="0067607E"/>
    <w:rsid w:val="00680414"/>
    <w:rsid w:val="00682983"/>
    <w:rsid w:val="00683636"/>
    <w:rsid w:val="006839D0"/>
    <w:rsid w:val="00683BB6"/>
    <w:rsid w:val="00683D54"/>
    <w:rsid w:val="00684AE1"/>
    <w:rsid w:val="00686FF1"/>
    <w:rsid w:val="006875D8"/>
    <w:rsid w:val="00694FC1"/>
    <w:rsid w:val="00695E7D"/>
    <w:rsid w:val="006A1A33"/>
    <w:rsid w:val="006A73C1"/>
    <w:rsid w:val="006B17AF"/>
    <w:rsid w:val="006B17DA"/>
    <w:rsid w:val="006B21EB"/>
    <w:rsid w:val="006B2290"/>
    <w:rsid w:val="006B78A3"/>
    <w:rsid w:val="006C19EC"/>
    <w:rsid w:val="006C1A1F"/>
    <w:rsid w:val="006C1C81"/>
    <w:rsid w:val="006C3FD1"/>
    <w:rsid w:val="006C55C9"/>
    <w:rsid w:val="006C78A4"/>
    <w:rsid w:val="006C7D6D"/>
    <w:rsid w:val="006C7F26"/>
    <w:rsid w:val="006D113D"/>
    <w:rsid w:val="006D1405"/>
    <w:rsid w:val="006D2DF9"/>
    <w:rsid w:val="006D6993"/>
    <w:rsid w:val="006E0B0A"/>
    <w:rsid w:val="006E1EF9"/>
    <w:rsid w:val="006E43FC"/>
    <w:rsid w:val="006F02D6"/>
    <w:rsid w:val="006F523B"/>
    <w:rsid w:val="006F53EA"/>
    <w:rsid w:val="00700971"/>
    <w:rsid w:val="00701B10"/>
    <w:rsid w:val="00702B8C"/>
    <w:rsid w:val="00703384"/>
    <w:rsid w:val="00705231"/>
    <w:rsid w:val="00705E0E"/>
    <w:rsid w:val="00707562"/>
    <w:rsid w:val="00707FD7"/>
    <w:rsid w:val="00710BF6"/>
    <w:rsid w:val="00711A07"/>
    <w:rsid w:val="007128A1"/>
    <w:rsid w:val="00712A4F"/>
    <w:rsid w:val="00714CD0"/>
    <w:rsid w:val="007177C4"/>
    <w:rsid w:val="00717D88"/>
    <w:rsid w:val="00722EBD"/>
    <w:rsid w:val="007249F9"/>
    <w:rsid w:val="0072563D"/>
    <w:rsid w:val="00726A43"/>
    <w:rsid w:val="00727E3E"/>
    <w:rsid w:val="0073086A"/>
    <w:rsid w:val="007330E4"/>
    <w:rsid w:val="0073490D"/>
    <w:rsid w:val="0073500A"/>
    <w:rsid w:val="007352E6"/>
    <w:rsid w:val="007358F9"/>
    <w:rsid w:val="007401D2"/>
    <w:rsid w:val="00741262"/>
    <w:rsid w:val="007422FB"/>
    <w:rsid w:val="00742E35"/>
    <w:rsid w:val="0074437E"/>
    <w:rsid w:val="00745E2A"/>
    <w:rsid w:val="007539E9"/>
    <w:rsid w:val="007541B3"/>
    <w:rsid w:val="00757F5F"/>
    <w:rsid w:val="00757F88"/>
    <w:rsid w:val="00760B63"/>
    <w:rsid w:val="00761354"/>
    <w:rsid w:val="0076348A"/>
    <w:rsid w:val="00763C61"/>
    <w:rsid w:val="00763FB7"/>
    <w:rsid w:val="00765B87"/>
    <w:rsid w:val="00765B90"/>
    <w:rsid w:val="00766B90"/>
    <w:rsid w:val="007702D2"/>
    <w:rsid w:val="00770D52"/>
    <w:rsid w:val="00770EAB"/>
    <w:rsid w:val="00771915"/>
    <w:rsid w:val="0077265D"/>
    <w:rsid w:val="0077322A"/>
    <w:rsid w:val="00773C2C"/>
    <w:rsid w:val="0077573C"/>
    <w:rsid w:val="00775CE2"/>
    <w:rsid w:val="00777657"/>
    <w:rsid w:val="007779E0"/>
    <w:rsid w:val="00780834"/>
    <w:rsid w:val="00780CA5"/>
    <w:rsid w:val="0078385A"/>
    <w:rsid w:val="00783DFC"/>
    <w:rsid w:val="00786056"/>
    <w:rsid w:val="00786612"/>
    <w:rsid w:val="00786BC1"/>
    <w:rsid w:val="007872DD"/>
    <w:rsid w:val="00791EF3"/>
    <w:rsid w:val="00792D63"/>
    <w:rsid w:val="00793509"/>
    <w:rsid w:val="007942D3"/>
    <w:rsid w:val="0079477D"/>
    <w:rsid w:val="00794813"/>
    <w:rsid w:val="007A0AAD"/>
    <w:rsid w:val="007A0DC2"/>
    <w:rsid w:val="007A119F"/>
    <w:rsid w:val="007A1667"/>
    <w:rsid w:val="007A1F82"/>
    <w:rsid w:val="007A2C83"/>
    <w:rsid w:val="007A3813"/>
    <w:rsid w:val="007A4319"/>
    <w:rsid w:val="007A658C"/>
    <w:rsid w:val="007B2099"/>
    <w:rsid w:val="007B2D1E"/>
    <w:rsid w:val="007B379A"/>
    <w:rsid w:val="007B3D59"/>
    <w:rsid w:val="007B40EC"/>
    <w:rsid w:val="007B4DBF"/>
    <w:rsid w:val="007B64DE"/>
    <w:rsid w:val="007B6C09"/>
    <w:rsid w:val="007B7741"/>
    <w:rsid w:val="007C0894"/>
    <w:rsid w:val="007C11B9"/>
    <w:rsid w:val="007C1A98"/>
    <w:rsid w:val="007C3252"/>
    <w:rsid w:val="007C4951"/>
    <w:rsid w:val="007D08FA"/>
    <w:rsid w:val="007D43D2"/>
    <w:rsid w:val="007D775D"/>
    <w:rsid w:val="007D7846"/>
    <w:rsid w:val="007E09DA"/>
    <w:rsid w:val="007E0F8A"/>
    <w:rsid w:val="007E1547"/>
    <w:rsid w:val="007E2845"/>
    <w:rsid w:val="007E3574"/>
    <w:rsid w:val="007F16E9"/>
    <w:rsid w:val="007F212E"/>
    <w:rsid w:val="007F2887"/>
    <w:rsid w:val="007F2F8F"/>
    <w:rsid w:val="007F4ADA"/>
    <w:rsid w:val="007F718D"/>
    <w:rsid w:val="00801FAD"/>
    <w:rsid w:val="0080286E"/>
    <w:rsid w:val="00803F2A"/>
    <w:rsid w:val="00806A46"/>
    <w:rsid w:val="00807C33"/>
    <w:rsid w:val="008114B5"/>
    <w:rsid w:val="008136C5"/>
    <w:rsid w:val="00815499"/>
    <w:rsid w:val="00815CB9"/>
    <w:rsid w:val="00816511"/>
    <w:rsid w:val="0081731B"/>
    <w:rsid w:val="008178B6"/>
    <w:rsid w:val="00817CDD"/>
    <w:rsid w:val="00821100"/>
    <w:rsid w:val="0082625E"/>
    <w:rsid w:val="00826D4D"/>
    <w:rsid w:val="0083190F"/>
    <w:rsid w:val="008327E1"/>
    <w:rsid w:val="008336AB"/>
    <w:rsid w:val="00835BC8"/>
    <w:rsid w:val="00836CDE"/>
    <w:rsid w:val="008418A2"/>
    <w:rsid w:val="00843415"/>
    <w:rsid w:val="00843B43"/>
    <w:rsid w:val="00844027"/>
    <w:rsid w:val="0085025F"/>
    <w:rsid w:val="00850841"/>
    <w:rsid w:val="00851570"/>
    <w:rsid w:val="008536EE"/>
    <w:rsid w:val="008546F7"/>
    <w:rsid w:val="00855CB6"/>
    <w:rsid w:val="0085689E"/>
    <w:rsid w:val="00862730"/>
    <w:rsid w:val="00863854"/>
    <w:rsid w:val="00865B74"/>
    <w:rsid w:val="00866063"/>
    <w:rsid w:val="00866927"/>
    <w:rsid w:val="00870D9A"/>
    <w:rsid w:val="008737F4"/>
    <w:rsid w:val="00873FD0"/>
    <w:rsid w:val="00874201"/>
    <w:rsid w:val="00876973"/>
    <w:rsid w:val="00880A58"/>
    <w:rsid w:val="00881ED1"/>
    <w:rsid w:val="0088356F"/>
    <w:rsid w:val="00883D85"/>
    <w:rsid w:val="00885EFA"/>
    <w:rsid w:val="00892552"/>
    <w:rsid w:val="00892BFC"/>
    <w:rsid w:val="0089383F"/>
    <w:rsid w:val="00895A0B"/>
    <w:rsid w:val="0089608F"/>
    <w:rsid w:val="0089694E"/>
    <w:rsid w:val="00896C16"/>
    <w:rsid w:val="008974F0"/>
    <w:rsid w:val="0089751E"/>
    <w:rsid w:val="008A1499"/>
    <w:rsid w:val="008A26DD"/>
    <w:rsid w:val="008A3A49"/>
    <w:rsid w:val="008B012A"/>
    <w:rsid w:val="008B52E2"/>
    <w:rsid w:val="008C0D66"/>
    <w:rsid w:val="008C1E8D"/>
    <w:rsid w:val="008C1F20"/>
    <w:rsid w:val="008C250A"/>
    <w:rsid w:val="008C53AB"/>
    <w:rsid w:val="008D1F14"/>
    <w:rsid w:val="008D513F"/>
    <w:rsid w:val="008D6D34"/>
    <w:rsid w:val="008D7EE3"/>
    <w:rsid w:val="008E0929"/>
    <w:rsid w:val="008E1625"/>
    <w:rsid w:val="008E1D9A"/>
    <w:rsid w:val="008E2714"/>
    <w:rsid w:val="008E5B14"/>
    <w:rsid w:val="008E7A79"/>
    <w:rsid w:val="008F026A"/>
    <w:rsid w:val="008F332E"/>
    <w:rsid w:val="008F3586"/>
    <w:rsid w:val="008F38BA"/>
    <w:rsid w:val="008F3A3F"/>
    <w:rsid w:val="008F562E"/>
    <w:rsid w:val="008F6CC3"/>
    <w:rsid w:val="008F7C88"/>
    <w:rsid w:val="00900D9D"/>
    <w:rsid w:val="00901A98"/>
    <w:rsid w:val="0090362F"/>
    <w:rsid w:val="009068BC"/>
    <w:rsid w:val="00906C93"/>
    <w:rsid w:val="00906E17"/>
    <w:rsid w:val="009103CF"/>
    <w:rsid w:val="0091188E"/>
    <w:rsid w:val="00911BE8"/>
    <w:rsid w:val="00913277"/>
    <w:rsid w:val="00920178"/>
    <w:rsid w:val="00921158"/>
    <w:rsid w:val="009215C4"/>
    <w:rsid w:val="009215DD"/>
    <w:rsid w:val="009248F6"/>
    <w:rsid w:val="00927092"/>
    <w:rsid w:val="00930BA1"/>
    <w:rsid w:val="0093169E"/>
    <w:rsid w:val="0093190D"/>
    <w:rsid w:val="00937515"/>
    <w:rsid w:val="00937ABB"/>
    <w:rsid w:val="00941FFD"/>
    <w:rsid w:val="00942D95"/>
    <w:rsid w:val="009430E9"/>
    <w:rsid w:val="009455ED"/>
    <w:rsid w:val="009500F4"/>
    <w:rsid w:val="0095015E"/>
    <w:rsid w:val="009505C9"/>
    <w:rsid w:val="00950752"/>
    <w:rsid w:val="00951C6D"/>
    <w:rsid w:val="0095233C"/>
    <w:rsid w:val="009527F1"/>
    <w:rsid w:val="00952C99"/>
    <w:rsid w:val="009576D3"/>
    <w:rsid w:val="00961857"/>
    <w:rsid w:val="00962867"/>
    <w:rsid w:val="00962D6B"/>
    <w:rsid w:val="0096395F"/>
    <w:rsid w:val="00963E54"/>
    <w:rsid w:val="00966424"/>
    <w:rsid w:val="00966CC0"/>
    <w:rsid w:val="00970742"/>
    <w:rsid w:val="00971A04"/>
    <w:rsid w:val="009722C6"/>
    <w:rsid w:val="009726EE"/>
    <w:rsid w:val="00973094"/>
    <w:rsid w:val="00980643"/>
    <w:rsid w:val="0098107C"/>
    <w:rsid w:val="00981262"/>
    <w:rsid w:val="00982BD9"/>
    <w:rsid w:val="0098564D"/>
    <w:rsid w:val="009905B9"/>
    <w:rsid w:val="00990A0D"/>
    <w:rsid w:val="00990F93"/>
    <w:rsid w:val="009917E0"/>
    <w:rsid w:val="00995781"/>
    <w:rsid w:val="00995A93"/>
    <w:rsid w:val="009967BC"/>
    <w:rsid w:val="00997368"/>
    <w:rsid w:val="009A3220"/>
    <w:rsid w:val="009A33B5"/>
    <w:rsid w:val="009A4ABA"/>
    <w:rsid w:val="009B0440"/>
    <w:rsid w:val="009B04B4"/>
    <w:rsid w:val="009B1582"/>
    <w:rsid w:val="009B2D86"/>
    <w:rsid w:val="009B33E4"/>
    <w:rsid w:val="009B439E"/>
    <w:rsid w:val="009B55EF"/>
    <w:rsid w:val="009B5624"/>
    <w:rsid w:val="009B683C"/>
    <w:rsid w:val="009B69D2"/>
    <w:rsid w:val="009C0849"/>
    <w:rsid w:val="009C0A26"/>
    <w:rsid w:val="009C1A4A"/>
    <w:rsid w:val="009C2A69"/>
    <w:rsid w:val="009C2DE6"/>
    <w:rsid w:val="009C4D2C"/>
    <w:rsid w:val="009C4E20"/>
    <w:rsid w:val="009C51E9"/>
    <w:rsid w:val="009C60ED"/>
    <w:rsid w:val="009C62D6"/>
    <w:rsid w:val="009C7709"/>
    <w:rsid w:val="009D01C7"/>
    <w:rsid w:val="009D298C"/>
    <w:rsid w:val="009D4242"/>
    <w:rsid w:val="009D58B6"/>
    <w:rsid w:val="009D59AD"/>
    <w:rsid w:val="009D762B"/>
    <w:rsid w:val="009E06BC"/>
    <w:rsid w:val="009E467C"/>
    <w:rsid w:val="009E4718"/>
    <w:rsid w:val="009E568F"/>
    <w:rsid w:val="009E6194"/>
    <w:rsid w:val="009E7CD4"/>
    <w:rsid w:val="009E7D1B"/>
    <w:rsid w:val="009F18CB"/>
    <w:rsid w:val="009F49B2"/>
    <w:rsid w:val="009F4DF9"/>
    <w:rsid w:val="00A04CC1"/>
    <w:rsid w:val="00A06941"/>
    <w:rsid w:val="00A111D1"/>
    <w:rsid w:val="00A11A24"/>
    <w:rsid w:val="00A1217D"/>
    <w:rsid w:val="00A13478"/>
    <w:rsid w:val="00A148DC"/>
    <w:rsid w:val="00A22ECE"/>
    <w:rsid w:val="00A237AD"/>
    <w:rsid w:val="00A23B47"/>
    <w:rsid w:val="00A24D84"/>
    <w:rsid w:val="00A27CD8"/>
    <w:rsid w:val="00A30EF2"/>
    <w:rsid w:val="00A317C6"/>
    <w:rsid w:val="00A338E4"/>
    <w:rsid w:val="00A34F8C"/>
    <w:rsid w:val="00A35393"/>
    <w:rsid w:val="00A35601"/>
    <w:rsid w:val="00A3586A"/>
    <w:rsid w:val="00A36730"/>
    <w:rsid w:val="00A36F36"/>
    <w:rsid w:val="00A406EA"/>
    <w:rsid w:val="00A40A28"/>
    <w:rsid w:val="00A4117E"/>
    <w:rsid w:val="00A412D4"/>
    <w:rsid w:val="00A41E6C"/>
    <w:rsid w:val="00A42CF9"/>
    <w:rsid w:val="00A42F48"/>
    <w:rsid w:val="00A50D9C"/>
    <w:rsid w:val="00A5345B"/>
    <w:rsid w:val="00A56793"/>
    <w:rsid w:val="00A57107"/>
    <w:rsid w:val="00A57AF9"/>
    <w:rsid w:val="00A602AE"/>
    <w:rsid w:val="00A60445"/>
    <w:rsid w:val="00A61009"/>
    <w:rsid w:val="00A61BCB"/>
    <w:rsid w:val="00A63E35"/>
    <w:rsid w:val="00A651C6"/>
    <w:rsid w:val="00A66B62"/>
    <w:rsid w:val="00A678E4"/>
    <w:rsid w:val="00A71B5B"/>
    <w:rsid w:val="00A73E69"/>
    <w:rsid w:val="00A75758"/>
    <w:rsid w:val="00A76E1D"/>
    <w:rsid w:val="00A76FAA"/>
    <w:rsid w:val="00A8162B"/>
    <w:rsid w:val="00A81CF5"/>
    <w:rsid w:val="00A8360F"/>
    <w:rsid w:val="00A841C9"/>
    <w:rsid w:val="00A87063"/>
    <w:rsid w:val="00A90B9C"/>
    <w:rsid w:val="00A91001"/>
    <w:rsid w:val="00A91BFF"/>
    <w:rsid w:val="00A9464D"/>
    <w:rsid w:val="00A96F59"/>
    <w:rsid w:val="00AA06CD"/>
    <w:rsid w:val="00AA1C01"/>
    <w:rsid w:val="00AA3257"/>
    <w:rsid w:val="00AA3486"/>
    <w:rsid w:val="00AA5191"/>
    <w:rsid w:val="00AA6D7B"/>
    <w:rsid w:val="00AA6F92"/>
    <w:rsid w:val="00AA7C79"/>
    <w:rsid w:val="00AB0221"/>
    <w:rsid w:val="00AB2078"/>
    <w:rsid w:val="00AB32EF"/>
    <w:rsid w:val="00AB6934"/>
    <w:rsid w:val="00AB720A"/>
    <w:rsid w:val="00AB7B42"/>
    <w:rsid w:val="00AC015A"/>
    <w:rsid w:val="00AC3121"/>
    <w:rsid w:val="00AC4F83"/>
    <w:rsid w:val="00AC569F"/>
    <w:rsid w:val="00AC6459"/>
    <w:rsid w:val="00AC671D"/>
    <w:rsid w:val="00AD0C26"/>
    <w:rsid w:val="00AD0E3D"/>
    <w:rsid w:val="00AD3717"/>
    <w:rsid w:val="00AD4E8F"/>
    <w:rsid w:val="00AD51D7"/>
    <w:rsid w:val="00AD5AE0"/>
    <w:rsid w:val="00AD6905"/>
    <w:rsid w:val="00AD6D6F"/>
    <w:rsid w:val="00AE1B0E"/>
    <w:rsid w:val="00AE1D4F"/>
    <w:rsid w:val="00AE43A8"/>
    <w:rsid w:val="00AE51A6"/>
    <w:rsid w:val="00AE6A6C"/>
    <w:rsid w:val="00AE6D2C"/>
    <w:rsid w:val="00AE7D15"/>
    <w:rsid w:val="00AF0630"/>
    <w:rsid w:val="00AF42DE"/>
    <w:rsid w:val="00AF4A51"/>
    <w:rsid w:val="00AF720A"/>
    <w:rsid w:val="00B025FE"/>
    <w:rsid w:val="00B03219"/>
    <w:rsid w:val="00B050BD"/>
    <w:rsid w:val="00B1068B"/>
    <w:rsid w:val="00B10C9A"/>
    <w:rsid w:val="00B12F87"/>
    <w:rsid w:val="00B151A5"/>
    <w:rsid w:val="00B17B82"/>
    <w:rsid w:val="00B237A9"/>
    <w:rsid w:val="00B23C83"/>
    <w:rsid w:val="00B23D88"/>
    <w:rsid w:val="00B27026"/>
    <w:rsid w:val="00B27D8C"/>
    <w:rsid w:val="00B30310"/>
    <w:rsid w:val="00B31C44"/>
    <w:rsid w:val="00B3369F"/>
    <w:rsid w:val="00B3469F"/>
    <w:rsid w:val="00B34CD5"/>
    <w:rsid w:val="00B35935"/>
    <w:rsid w:val="00B41030"/>
    <w:rsid w:val="00B42C1C"/>
    <w:rsid w:val="00B434C6"/>
    <w:rsid w:val="00B45608"/>
    <w:rsid w:val="00B4635B"/>
    <w:rsid w:val="00B4742F"/>
    <w:rsid w:val="00B50559"/>
    <w:rsid w:val="00B50ECB"/>
    <w:rsid w:val="00B51700"/>
    <w:rsid w:val="00B51790"/>
    <w:rsid w:val="00B51D8C"/>
    <w:rsid w:val="00B56C24"/>
    <w:rsid w:val="00B60199"/>
    <w:rsid w:val="00B62AC1"/>
    <w:rsid w:val="00B63335"/>
    <w:rsid w:val="00B633EF"/>
    <w:rsid w:val="00B66485"/>
    <w:rsid w:val="00B668A8"/>
    <w:rsid w:val="00B677C4"/>
    <w:rsid w:val="00B704F0"/>
    <w:rsid w:val="00B70759"/>
    <w:rsid w:val="00B71DAC"/>
    <w:rsid w:val="00B74E7F"/>
    <w:rsid w:val="00B74F30"/>
    <w:rsid w:val="00B75C0D"/>
    <w:rsid w:val="00B763E1"/>
    <w:rsid w:val="00B77C49"/>
    <w:rsid w:val="00B800BA"/>
    <w:rsid w:val="00B80855"/>
    <w:rsid w:val="00B81AA1"/>
    <w:rsid w:val="00B93CD1"/>
    <w:rsid w:val="00B94E6C"/>
    <w:rsid w:val="00B9569C"/>
    <w:rsid w:val="00BA146F"/>
    <w:rsid w:val="00BA3E26"/>
    <w:rsid w:val="00BA6AB1"/>
    <w:rsid w:val="00BA71FE"/>
    <w:rsid w:val="00BA726F"/>
    <w:rsid w:val="00BA72BC"/>
    <w:rsid w:val="00BA77A6"/>
    <w:rsid w:val="00BB015C"/>
    <w:rsid w:val="00BB3431"/>
    <w:rsid w:val="00BB39FD"/>
    <w:rsid w:val="00BB4377"/>
    <w:rsid w:val="00BB4606"/>
    <w:rsid w:val="00BB5208"/>
    <w:rsid w:val="00BB7B9F"/>
    <w:rsid w:val="00BC2464"/>
    <w:rsid w:val="00BC3122"/>
    <w:rsid w:val="00BC34A8"/>
    <w:rsid w:val="00BC3DD1"/>
    <w:rsid w:val="00BC509B"/>
    <w:rsid w:val="00BC5A17"/>
    <w:rsid w:val="00BC5C69"/>
    <w:rsid w:val="00BC7032"/>
    <w:rsid w:val="00BD078D"/>
    <w:rsid w:val="00BD1DAE"/>
    <w:rsid w:val="00BD32AA"/>
    <w:rsid w:val="00BD3D65"/>
    <w:rsid w:val="00BD3F99"/>
    <w:rsid w:val="00BD5FCF"/>
    <w:rsid w:val="00BD673F"/>
    <w:rsid w:val="00BD67B1"/>
    <w:rsid w:val="00BD68BC"/>
    <w:rsid w:val="00BD715A"/>
    <w:rsid w:val="00BD7AD8"/>
    <w:rsid w:val="00BE0E99"/>
    <w:rsid w:val="00BE1D73"/>
    <w:rsid w:val="00BE4C7C"/>
    <w:rsid w:val="00BF0E7F"/>
    <w:rsid w:val="00BF0F2F"/>
    <w:rsid w:val="00BF1110"/>
    <w:rsid w:val="00BF1970"/>
    <w:rsid w:val="00BF1DCC"/>
    <w:rsid w:val="00BF39D2"/>
    <w:rsid w:val="00BF55A9"/>
    <w:rsid w:val="00BF636E"/>
    <w:rsid w:val="00BF6FE1"/>
    <w:rsid w:val="00C013F9"/>
    <w:rsid w:val="00C01D02"/>
    <w:rsid w:val="00C02751"/>
    <w:rsid w:val="00C03791"/>
    <w:rsid w:val="00C03C4D"/>
    <w:rsid w:val="00C03FCF"/>
    <w:rsid w:val="00C05964"/>
    <w:rsid w:val="00C102AC"/>
    <w:rsid w:val="00C12477"/>
    <w:rsid w:val="00C1672A"/>
    <w:rsid w:val="00C16953"/>
    <w:rsid w:val="00C173C6"/>
    <w:rsid w:val="00C2146F"/>
    <w:rsid w:val="00C224B0"/>
    <w:rsid w:val="00C22518"/>
    <w:rsid w:val="00C22BF9"/>
    <w:rsid w:val="00C230AB"/>
    <w:rsid w:val="00C2310A"/>
    <w:rsid w:val="00C2336A"/>
    <w:rsid w:val="00C2374F"/>
    <w:rsid w:val="00C23D2F"/>
    <w:rsid w:val="00C23DC8"/>
    <w:rsid w:val="00C241C4"/>
    <w:rsid w:val="00C24E50"/>
    <w:rsid w:val="00C25C74"/>
    <w:rsid w:val="00C26323"/>
    <w:rsid w:val="00C279B2"/>
    <w:rsid w:val="00C27A00"/>
    <w:rsid w:val="00C311A1"/>
    <w:rsid w:val="00C345B5"/>
    <w:rsid w:val="00C345DD"/>
    <w:rsid w:val="00C34DA3"/>
    <w:rsid w:val="00C35015"/>
    <w:rsid w:val="00C35AAB"/>
    <w:rsid w:val="00C42FEB"/>
    <w:rsid w:val="00C4300B"/>
    <w:rsid w:val="00C4348A"/>
    <w:rsid w:val="00C4401E"/>
    <w:rsid w:val="00C443BD"/>
    <w:rsid w:val="00C44A21"/>
    <w:rsid w:val="00C451C5"/>
    <w:rsid w:val="00C462D5"/>
    <w:rsid w:val="00C46CB8"/>
    <w:rsid w:val="00C60E96"/>
    <w:rsid w:val="00C60FE9"/>
    <w:rsid w:val="00C61073"/>
    <w:rsid w:val="00C65B28"/>
    <w:rsid w:val="00C66CF9"/>
    <w:rsid w:val="00C67456"/>
    <w:rsid w:val="00C71285"/>
    <w:rsid w:val="00C72906"/>
    <w:rsid w:val="00C75AAF"/>
    <w:rsid w:val="00C76745"/>
    <w:rsid w:val="00C81F7D"/>
    <w:rsid w:val="00C85669"/>
    <w:rsid w:val="00C86148"/>
    <w:rsid w:val="00C9161D"/>
    <w:rsid w:val="00C91A05"/>
    <w:rsid w:val="00C91FD3"/>
    <w:rsid w:val="00C9270B"/>
    <w:rsid w:val="00C92966"/>
    <w:rsid w:val="00C95449"/>
    <w:rsid w:val="00C95923"/>
    <w:rsid w:val="00C974E6"/>
    <w:rsid w:val="00CA0C1D"/>
    <w:rsid w:val="00CA10C9"/>
    <w:rsid w:val="00CA309A"/>
    <w:rsid w:val="00CA3BAA"/>
    <w:rsid w:val="00CA6FFC"/>
    <w:rsid w:val="00CA7B6D"/>
    <w:rsid w:val="00CB0314"/>
    <w:rsid w:val="00CB0429"/>
    <w:rsid w:val="00CB2187"/>
    <w:rsid w:val="00CB3171"/>
    <w:rsid w:val="00CC0B5D"/>
    <w:rsid w:val="00CC1D63"/>
    <w:rsid w:val="00CC1F80"/>
    <w:rsid w:val="00CC2EEB"/>
    <w:rsid w:val="00CC37F9"/>
    <w:rsid w:val="00CC3CD8"/>
    <w:rsid w:val="00CC6472"/>
    <w:rsid w:val="00CC6F1E"/>
    <w:rsid w:val="00CD0493"/>
    <w:rsid w:val="00CD05E6"/>
    <w:rsid w:val="00CD456F"/>
    <w:rsid w:val="00CD4B0A"/>
    <w:rsid w:val="00CD593B"/>
    <w:rsid w:val="00CE0781"/>
    <w:rsid w:val="00CE1A3C"/>
    <w:rsid w:val="00CE2D66"/>
    <w:rsid w:val="00CE2D76"/>
    <w:rsid w:val="00CE7E45"/>
    <w:rsid w:val="00CF0E97"/>
    <w:rsid w:val="00CF1848"/>
    <w:rsid w:val="00CF3E28"/>
    <w:rsid w:val="00CF4894"/>
    <w:rsid w:val="00D0016A"/>
    <w:rsid w:val="00D007F6"/>
    <w:rsid w:val="00D0120F"/>
    <w:rsid w:val="00D01E12"/>
    <w:rsid w:val="00D0347C"/>
    <w:rsid w:val="00D03516"/>
    <w:rsid w:val="00D04E08"/>
    <w:rsid w:val="00D063EB"/>
    <w:rsid w:val="00D065AF"/>
    <w:rsid w:val="00D0678E"/>
    <w:rsid w:val="00D07D2A"/>
    <w:rsid w:val="00D11477"/>
    <w:rsid w:val="00D1161C"/>
    <w:rsid w:val="00D11766"/>
    <w:rsid w:val="00D12044"/>
    <w:rsid w:val="00D14037"/>
    <w:rsid w:val="00D157F4"/>
    <w:rsid w:val="00D170D9"/>
    <w:rsid w:val="00D1752E"/>
    <w:rsid w:val="00D20129"/>
    <w:rsid w:val="00D20405"/>
    <w:rsid w:val="00D24EEE"/>
    <w:rsid w:val="00D26DAA"/>
    <w:rsid w:val="00D27BE1"/>
    <w:rsid w:val="00D304C5"/>
    <w:rsid w:val="00D31770"/>
    <w:rsid w:val="00D31B4F"/>
    <w:rsid w:val="00D32741"/>
    <w:rsid w:val="00D33EFC"/>
    <w:rsid w:val="00D3578E"/>
    <w:rsid w:val="00D406F6"/>
    <w:rsid w:val="00D4080B"/>
    <w:rsid w:val="00D40DBC"/>
    <w:rsid w:val="00D438B2"/>
    <w:rsid w:val="00D43990"/>
    <w:rsid w:val="00D43D72"/>
    <w:rsid w:val="00D477BA"/>
    <w:rsid w:val="00D47809"/>
    <w:rsid w:val="00D47ADC"/>
    <w:rsid w:val="00D50265"/>
    <w:rsid w:val="00D50A6C"/>
    <w:rsid w:val="00D50D93"/>
    <w:rsid w:val="00D51F98"/>
    <w:rsid w:val="00D52A99"/>
    <w:rsid w:val="00D52D56"/>
    <w:rsid w:val="00D542FD"/>
    <w:rsid w:val="00D56B3E"/>
    <w:rsid w:val="00D60C7A"/>
    <w:rsid w:val="00D615A2"/>
    <w:rsid w:val="00D61927"/>
    <w:rsid w:val="00D61A9D"/>
    <w:rsid w:val="00D61C85"/>
    <w:rsid w:val="00D628FF"/>
    <w:rsid w:val="00D64CD0"/>
    <w:rsid w:val="00D66E5B"/>
    <w:rsid w:val="00D67A4A"/>
    <w:rsid w:val="00D70366"/>
    <w:rsid w:val="00D70D26"/>
    <w:rsid w:val="00D75CA6"/>
    <w:rsid w:val="00D76A18"/>
    <w:rsid w:val="00D7703D"/>
    <w:rsid w:val="00D804E5"/>
    <w:rsid w:val="00D80849"/>
    <w:rsid w:val="00D8091E"/>
    <w:rsid w:val="00D81972"/>
    <w:rsid w:val="00D820DD"/>
    <w:rsid w:val="00D82E8F"/>
    <w:rsid w:val="00D837D4"/>
    <w:rsid w:val="00D83955"/>
    <w:rsid w:val="00D844F1"/>
    <w:rsid w:val="00D84CEE"/>
    <w:rsid w:val="00D84D2D"/>
    <w:rsid w:val="00D86980"/>
    <w:rsid w:val="00D86F52"/>
    <w:rsid w:val="00D87105"/>
    <w:rsid w:val="00D9312A"/>
    <w:rsid w:val="00D9479D"/>
    <w:rsid w:val="00D950FF"/>
    <w:rsid w:val="00D96270"/>
    <w:rsid w:val="00D96500"/>
    <w:rsid w:val="00D9692C"/>
    <w:rsid w:val="00DA0D63"/>
    <w:rsid w:val="00DA2B8F"/>
    <w:rsid w:val="00DA2DB0"/>
    <w:rsid w:val="00DA7B9A"/>
    <w:rsid w:val="00DB1107"/>
    <w:rsid w:val="00DB16A2"/>
    <w:rsid w:val="00DB2726"/>
    <w:rsid w:val="00DB37C7"/>
    <w:rsid w:val="00DB44AA"/>
    <w:rsid w:val="00DB4542"/>
    <w:rsid w:val="00DB54A7"/>
    <w:rsid w:val="00DB5E0F"/>
    <w:rsid w:val="00DC7079"/>
    <w:rsid w:val="00DD118C"/>
    <w:rsid w:val="00DD1915"/>
    <w:rsid w:val="00DD33B8"/>
    <w:rsid w:val="00DD5F57"/>
    <w:rsid w:val="00DE03B1"/>
    <w:rsid w:val="00DE06C3"/>
    <w:rsid w:val="00DE0A32"/>
    <w:rsid w:val="00DE0AC8"/>
    <w:rsid w:val="00DE1757"/>
    <w:rsid w:val="00DE2E81"/>
    <w:rsid w:val="00DE2EA9"/>
    <w:rsid w:val="00DE3C09"/>
    <w:rsid w:val="00DE3D81"/>
    <w:rsid w:val="00DE442A"/>
    <w:rsid w:val="00DE765C"/>
    <w:rsid w:val="00DE7AFD"/>
    <w:rsid w:val="00DF0D90"/>
    <w:rsid w:val="00DF2777"/>
    <w:rsid w:val="00DF794B"/>
    <w:rsid w:val="00E0141F"/>
    <w:rsid w:val="00E0457B"/>
    <w:rsid w:val="00E0683C"/>
    <w:rsid w:val="00E125A3"/>
    <w:rsid w:val="00E1286E"/>
    <w:rsid w:val="00E17126"/>
    <w:rsid w:val="00E22543"/>
    <w:rsid w:val="00E26A93"/>
    <w:rsid w:val="00E27CDC"/>
    <w:rsid w:val="00E30D19"/>
    <w:rsid w:val="00E31434"/>
    <w:rsid w:val="00E34D8C"/>
    <w:rsid w:val="00E35EB4"/>
    <w:rsid w:val="00E368B4"/>
    <w:rsid w:val="00E3726D"/>
    <w:rsid w:val="00E40DA4"/>
    <w:rsid w:val="00E41C3E"/>
    <w:rsid w:val="00E42226"/>
    <w:rsid w:val="00E42C68"/>
    <w:rsid w:val="00E4393F"/>
    <w:rsid w:val="00E43A78"/>
    <w:rsid w:val="00E4425E"/>
    <w:rsid w:val="00E452F7"/>
    <w:rsid w:val="00E46148"/>
    <w:rsid w:val="00E46A53"/>
    <w:rsid w:val="00E46D5F"/>
    <w:rsid w:val="00E47280"/>
    <w:rsid w:val="00E5064C"/>
    <w:rsid w:val="00E50703"/>
    <w:rsid w:val="00E50B03"/>
    <w:rsid w:val="00E53392"/>
    <w:rsid w:val="00E54302"/>
    <w:rsid w:val="00E54F8E"/>
    <w:rsid w:val="00E60E45"/>
    <w:rsid w:val="00E640B3"/>
    <w:rsid w:val="00E65C4C"/>
    <w:rsid w:val="00E66235"/>
    <w:rsid w:val="00E7085E"/>
    <w:rsid w:val="00E70E31"/>
    <w:rsid w:val="00E7260E"/>
    <w:rsid w:val="00E73A16"/>
    <w:rsid w:val="00E800D3"/>
    <w:rsid w:val="00E83C24"/>
    <w:rsid w:val="00E86195"/>
    <w:rsid w:val="00E90600"/>
    <w:rsid w:val="00E90AD0"/>
    <w:rsid w:val="00E92F43"/>
    <w:rsid w:val="00E9318D"/>
    <w:rsid w:val="00E93F3E"/>
    <w:rsid w:val="00E94B99"/>
    <w:rsid w:val="00E95974"/>
    <w:rsid w:val="00EA1E73"/>
    <w:rsid w:val="00EA222C"/>
    <w:rsid w:val="00EA2B0B"/>
    <w:rsid w:val="00EA7002"/>
    <w:rsid w:val="00EB4EF6"/>
    <w:rsid w:val="00EB53D8"/>
    <w:rsid w:val="00EC17C0"/>
    <w:rsid w:val="00EC2410"/>
    <w:rsid w:val="00EC51BF"/>
    <w:rsid w:val="00EC6BDD"/>
    <w:rsid w:val="00EC7148"/>
    <w:rsid w:val="00EC7560"/>
    <w:rsid w:val="00ED2953"/>
    <w:rsid w:val="00ED5244"/>
    <w:rsid w:val="00ED54CF"/>
    <w:rsid w:val="00ED6128"/>
    <w:rsid w:val="00ED6B75"/>
    <w:rsid w:val="00ED7AA2"/>
    <w:rsid w:val="00EE0FDE"/>
    <w:rsid w:val="00EE133A"/>
    <w:rsid w:val="00EE1B77"/>
    <w:rsid w:val="00EE1FDF"/>
    <w:rsid w:val="00EE2D26"/>
    <w:rsid w:val="00EE3ECC"/>
    <w:rsid w:val="00EE59CA"/>
    <w:rsid w:val="00EE7859"/>
    <w:rsid w:val="00EF0C72"/>
    <w:rsid w:val="00EF346A"/>
    <w:rsid w:val="00EF4845"/>
    <w:rsid w:val="00EF719E"/>
    <w:rsid w:val="00F0568C"/>
    <w:rsid w:val="00F063C2"/>
    <w:rsid w:val="00F075EA"/>
    <w:rsid w:val="00F078D1"/>
    <w:rsid w:val="00F104B5"/>
    <w:rsid w:val="00F11B98"/>
    <w:rsid w:val="00F1276C"/>
    <w:rsid w:val="00F13C01"/>
    <w:rsid w:val="00F13FFD"/>
    <w:rsid w:val="00F1469B"/>
    <w:rsid w:val="00F14A38"/>
    <w:rsid w:val="00F151C8"/>
    <w:rsid w:val="00F1570F"/>
    <w:rsid w:val="00F20DE7"/>
    <w:rsid w:val="00F2206A"/>
    <w:rsid w:val="00F25BDD"/>
    <w:rsid w:val="00F261A0"/>
    <w:rsid w:val="00F3102C"/>
    <w:rsid w:val="00F36192"/>
    <w:rsid w:val="00F47C20"/>
    <w:rsid w:val="00F47F6F"/>
    <w:rsid w:val="00F5043F"/>
    <w:rsid w:val="00F5203B"/>
    <w:rsid w:val="00F53095"/>
    <w:rsid w:val="00F53193"/>
    <w:rsid w:val="00F5357E"/>
    <w:rsid w:val="00F5388B"/>
    <w:rsid w:val="00F53BE7"/>
    <w:rsid w:val="00F54F18"/>
    <w:rsid w:val="00F6586C"/>
    <w:rsid w:val="00F73003"/>
    <w:rsid w:val="00F73BD6"/>
    <w:rsid w:val="00F74253"/>
    <w:rsid w:val="00F74AB7"/>
    <w:rsid w:val="00F74D08"/>
    <w:rsid w:val="00F76250"/>
    <w:rsid w:val="00F77610"/>
    <w:rsid w:val="00F77B03"/>
    <w:rsid w:val="00F77EEB"/>
    <w:rsid w:val="00F80856"/>
    <w:rsid w:val="00F82C14"/>
    <w:rsid w:val="00F82C38"/>
    <w:rsid w:val="00F83F9F"/>
    <w:rsid w:val="00F85246"/>
    <w:rsid w:val="00F86D25"/>
    <w:rsid w:val="00F87816"/>
    <w:rsid w:val="00F90248"/>
    <w:rsid w:val="00F9038B"/>
    <w:rsid w:val="00F91504"/>
    <w:rsid w:val="00F92150"/>
    <w:rsid w:val="00F92A93"/>
    <w:rsid w:val="00F92F6F"/>
    <w:rsid w:val="00F931B1"/>
    <w:rsid w:val="00F94774"/>
    <w:rsid w:val="00F96204"/>
    <w:rsid w:val="00F96922"/>
    <w:rsid w:val="00FA38AF"/>
    <w:rsid w:val="00FA39BB"/>
    <w:rsid w:val="00FA5136"/>
    <w:rsid w:val="00FA663B"/>
    <w:rsid w:val="00FB374C"/>
    <w:rsid w:val="00FB732D"/>
    <w:rsid w:val="00FC4439"/>
    <w:rsid w:val="00FC53DB"/>
    <w:rsid w:val="00FC5BBB"/>
    <w:rsid w:val="00FC6718"/>
    <w:rsid w:val="00FD2BD4"/>
    <w:rsid w:val="00FD4DD0"/>
    <w:rsid w:val="00FD5DBD"/>
    <w:rsid w:val="00FE0BC6"/>
    <w:rsid w:val="00FE3FB8"/>
    <w:rsid w:val="00FE4551"/>
    <w:rsid w:val="00FE48AA"/>
    <w:rsid w:val="00FE625D"/>
    <w:rsid w:val="00FF2E50"/>
    <w:rsid w:val="00FF5003"/>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9"/>
    <o:shapelayout v:ext="edit">
      <o:idmap v:ext="edit" data="1"/>
    </o:shapelayout>
  </w:shapeDefaults>
  <w:decimalSymbol w:val="."/>
  <w:listSeparator w:val=","/>
  <w14:docId w14:val="486C441A"/>
  <w15:docId w15:val="{ADB4730B-DFAF-4607-B490-BFEEA1DFD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sz w:val="22"/>
      <w:szCs w:val="22"/>
      <w:lang w:val="en-GB"/>
    </w:rPr>
  </w:style>
  <w:style w:type="paragraph" w:styleId="Heading1">
    <w:name w:val="heading 1"/>
    <w:basedOn w:val="Normal"/>
    <w:next w:val="Heading2"/>
    <w:link w:val="Heading1Char"/>
    <w:uiPriority w:val="99"/>
    <w:qFormat/>
    <w:pPr>
      <w:keepNext/>
      <w:keepLines/>
      <w:numPr>
        <w:numId w:val="17"/>
      </w:numPr>
      <w:spacing w:before="240" w:after="120"/>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17"/>
      </w:numPr>
      <w:spacing w:before="120" w:after="120"/>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17"/>
      </w:numPr>
      <w:spacing w:before="120" w:after="120"/>
      <w:jc w:val="left"/>
      <w:outlineLvl w:val="2"/>
    </w:pPr>
    <w:rPr>
      <w:b/>
      <w:bCs/>
    </w:rPr>
  </w:style>
  <w:style w:type="paragraph" w:styleId="Heading4">
    <w:name w:val="heading 4"/>
    <w:basedOn w:val="Normal"/>
    <w:next w:val="CBDNormalNumber"/>
    <w:link w:val="Heading4Char"/>
    <w:uiPriority w:val="99"/>
    <w:qFormat/>
    <w:pPr>
      <w:keepNext/>
      <w:numPr>
        <w:ilvl w:val="3"/>
        <w:numId w:val="17"/>
      </w:numPr>
      <w:spacing w:before="120" w:after="120"/>
      <w:jc w:val="left"/>
      <w:outlineLvl w:val="3"/>
    </w:pPr>
    <w:rPr>
      <w:b/>
      <w:bCs/>
    </w:rPr>
  </w:style>
  <w:style w:type="paragraph" w:styleId="Heading5">
    <w:name w:val="heading 5"/>
    <w:basedOn w:val="Normal"/>
    <w:next w:val="Normal"/>
    <w:link w:val="Heading5Char"/>
    <w:uiPriority w:val="99"/>
    <w:qFormat/>
    <w:pPr>
      <w:keepNext/>
      <w:numPr>
        <w:ilvl w:val="4"/>
        <w:numId w:val="17"/>
      </w:numPr>
      <w:spacing w:before="120" w:after="120"/>
      <w:jc w:val="left"/>
      <w:outlineLvl w:val="4"/>
    </w:pPr>
    <w:rPr>
      <w:i/>
      <w:iCs/>
    </w:rPr>
  </w:style>
  <w:style w:type="paragraph" w:styleId="Heading6">
    <w:name w:val="heading 6"/>
    <w:basedOn w:val="Normal"/>
    <w:next w:val="Normal"/>
    <w:link w:val="Heading6Char"/>
    <w:uiPriority w:val="99"/>
    <w:qFormat/>
    <w:pPr>
      <w:keepNext/>
      <w:keepLines/>
      <w:numPr>
        <w:ilvl w:val="5"/>
        <w:numId w:val="1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1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1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15"/>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b/>
      <w:bCs/>
      <w:kern w:val="2"/>
      <w:sz w:val="28"/>
      <w:szCs w:val="32"/>
      <w:lang w:val="en-GB"/>
    </w:rPr>
  </w:style>
  <w:style w:type="character" w:customStyle="1" w:styleId="Heading2Char">
    <w:name w:val="Heading 2 Char"/>
    <w:link w:val="Heading2"/>
    <w:uiPriority w:val="99"/>
    <w:locked/>
    <w:rPr>
      <w:rFonts w:ascii="Times New Roman Bold" w:hAnsi="Times New Roman Bold"/>
      <w:b/>
      <w:sz w:val="24"/>
      <w:szCs w:val="26"/>
      <w:lang w:val="en-GB"/>
    </w:rPr>
  </w:style>
  <w:style w:type="character" w:customStyle="1" w:styleId="Heading3Char">
    <w:name w:val="Heading 3 Char"/>
    <w:link w:val="Heading3"/>
    <w:uiPriority w:val="99"/>
    <w:locked/>
    <w:rPr>
      <w:b/>
      <w:bCs/>
      <w:lang w:val="en-GB"/>
    </w:rPr>
  </w:style>
  <w:style w:type="character" w:customStyle="1" w:styleId="Heading4Char">
    <w:name w:val="Heading 4 Char"/>
    <w:link w:val="Heading4"/>
    <w:uiPriority w:val="99"/>
    <w:locked/>
    <w:rPr>
      <w:b/>
      <w:bCs/>
      <w:lang w:val="en-GB"/>
    </w:rPr>
  </w:style>
  <w:style w:type="character" w:customStyle="1" w:styleId="Heading5Char">
    <w:name w:val="Heading 5 Char"/>
    <w:link w:val="Heading5"/>
    <w:uiPriority w:val="99"/>
    <w:locked/>
    <w:rPr>
      <w:i/>
      <w:iCs/>
      <w:lang w:val="en-GB"/>
    </w:rPr>
  </w:style>
  <w:style w:type="character" w:customStyle="1" w:styleId="Heading6Char">
    <w:name w:val="Heading 6 Char"/>
    <w:link w:val="Heading6"/>
    <w:uiPriority w:val="99"/>
    <w:locked/>
    <w:rPr>
      <w:bCs/>
      <w:sz w:val="24"/>
      <w:lang w:val="en-GB"/>
    </w:rPr>
  </w:style>
  <w:style w:type="character" w:customStyle="1" w:styleId="Heading7Char">
    <w:name w:val="Heading 7 Char"/>
    <w:link w:val="Heading7"/>
    <w:uiPriority w:val="99"/>
    <w:locked/>
    <w:rPr>
      <w:b/>
      <w:u w:val="single"/>
      <w:lang w:val="en-GB"/>
    </w:rPr>
  </w:style>
  <w:style w:type="character" w:customStyle="1" w:styleId="Heading8Char">
    <w:name w:val="Heading 8 Char"/>
    <w:link w:val="Heading8"/>
    <w:uiPriority w:val="99"/>
    <w:locked/>
    <w:rPr>
      <w:b/>
      <w:u w:val="single"/>
      <w:lang w:val="en-GB"/>
    </w:rPr>
  </w:style>
  <w:style w:type="character" w:customStyle="1" w:styleId="Heading9Char">
    <w:name w:val="Heading 9 Char"/>
    <w:link w:val="Heading9"/>
    <w:uiPriority w:val="99"/>
    <w:locked/>
    <w:rPr>
      <w:u w:val="single"/>
      <w:lang w:val="en-GB"/>
    </w:rPr>
  </w:style>
  <w:style w:type="table" w:styleId="TableGrid">
    <w:name w:val="Table Grid"/>
    <w:basedOn w:val="TableNormal"/>
    <w:uiPriority w:val="99"/>
    <w:tblPr/>
  </w:style>
  <w:style w:type="paragraph" w:styleId="BalloonText">
    <w:name w:val="Balloon Text"/>
    <w:basedOn w:val="Normal"/>
    <w:link w:val="BalloonTextChar"/>
    <w:uiPriority w:val="99"/>
    <w:semiHidden/>
    <w:rPr>
      <w:sz w:val="18"/>
      <w:szCs w:val="18"/>
    </w:rPr>
  </w:style>
  <w:style w:type="character" w:customStyle="1" w:styleId="BalloonTextChar">
    <w:name w:val="Balloon Text Char"/>
    <w:link w:val="BalloonText"/>
    <w:uiPriority w:val="99"/>
    <w:semiHidden/>
    <w:locked/>
    <w:rPr>
      <w:rFonts w:ascii="Times New Roman" w:eastAsia="Times New Roman" w:hAnsi="Times New Roman" w:cs="Times New Roman"/>
      <w:sz w:val="18"/>
      <w:szCs w:val="18"/>
      <w:lang w:val="en-GB"/>
    </w:rPr>
  </w:style>
  <w:style w:type="character" w:styleId="PlaceholderText">
    <w:name w:val="Placeholder Text"/>
    <w:uiPriority w:val="99"/>
    <w:semiHidden/>
    <w:rPr>
      <w:rFonts w:cs="Times New Roman"/>
      <w:color w:val="808080"/>
      <w:lang w:val="en-GB"/>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Pr>
      <w:rFonts w:ascii="Times New Roman" w:eastAsia="Times New Roman" w:hAnsi="Times New Roman" w:cs="Times New Roman"/>
      <w:sz w:val="22"/>
      <w:szCs w:val="22"/>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link w:val="Footer"/>
    <w:uiPriority w:val="99"/>
    <w:locked/>
    <w:rPr>
      <w:rFonts w:ascii="Times New Roman" w:eastAsia="Times New Roman" w:hAnsi="Times New Roman" w:cs="Times New Roman"/>
      <w:sz w:val="22"/>
      <w:szCs w:val="22"/>
      <w:lang w:val="en-GB"/>
    </w:rPr>
  </w:style>
  <w:style w:type="paragraph" w:customStyle="1" w:styleId="meetingname">
    <w:name w:val="meeting name"/>
    <w:basedOn w:val="Normal"/>
    <w:uiPriority w:val="99"/>
    <w:pPr>
      <w:ind w:left="142" w:right="4218" w:hanging="142"/>
    </w:pPr>
    <w:rPr>
      <w:caps/>
    </w:rPr>
  </w:style>
  <w:style w:type="paragraph" w:styleId="Title">
    <w:name w:val="Title"/>
    <w:basedOn w:val="Normal"/>
    <w:next w:val="Normal"/>
    <w:link w:val="TitleChar"/>
    <w:uiPriority w:val="99"/>
    <w:qFormat/>
    <w:pPr>
      <w:pBdr>
        <w:bottom w:val="single" w:sz="8" w:space="4" w:color="4F81BD"/>
      </w:pBdr>
      <w:spacing w:after="300"/>
      <w:contextualSpacing/>
    </w:pPr>
    <w:rPr>
      <w:color w:val="17365D"/>
      <w:spacing w:val="5"/>
      <w:kern w:val="28"/>
      <w:sz w:val="52"/>
      <w:szCs w:val="52"/>
    </w:rPr>
  </w:style>
  <w:style w:type="character" w:customStyle="1" w:styleId="TitleChar">
    <w:name w:val="Title Char"/>
    <w:link w:val="Title"/>
    <w:uiPriority w:val="99"/>
    <w:locked/>
    <w:rPr>
      <w:rFonts w:ascii="Times New Roman" w:eastAsia="Times New Roman" w:hAnsi="Times New Roman" w:cs="Times New Roman"/>
      <w:color w:val="17365D"/>
      <w:spacing w:val="5"/>
      <w:kern w:val="28"/>
      <w:sz w:val="52"/>
      <w:szCs w:val="52"/>
      <w:lang w:val="en-GB"/>
    </w:rPr>
  </w:style>
  <w:style w:type="paragraph" w:styleId="Subtitle">
    <w:name w:val="Subtitle"/>
    <w:basedOn w:val="Normal"/>
    <w:next w:val="Normal"/>
    <w:link w:val="SubtitleChar"/>
    <w:uiPriority w:val="99"/>
    <w:qFormat/>
    <w:pPr>
      <w:numPr>
        <w:ilvl w:val="1"/>
      </w:numPr>
    </w:pPr>
    <w:rPr>
      <w:i/>
      <w:iCs/>
      <w:color w:val="4F81BD"/>
      <w:spacing w:val="15"/>
      <w:sz w:val="24"/>
    </w:rPr>
  </w:style>
  <w:style w:type="character" w:customStyle="1" w:styleId="SubtitleChar">
    <w:name w:val="Subtitle Char"/>
    <w:link w:val="Subtitle"/>
    <w:uiPriority w:val="99"/>
    <w:locked/>
    <w:rPr>
      <w:rFonts w:ascii="Times New Roman" w:eastAsia="Times New Roman" w:hAnsi="Times New Roman" w:cs="Times New Roman"/>
      <w:i/>
      <w:iCs/>
      <w:color w:val="4F81BD"/>
      <w:spacing w:val="15"/>
      <w:sz w:val="22"/>
      <w:szCs w:val="22"/>
      <w:lang w:val="en-GB"/>
    </w:rPr>
  </w:style>
  <w:style w:type="paragraph" w:styleId="BodyText">
    <w:name w:val="Body Text"/>
    <w:basedOn w:val="Normal"/>
    <w:link w:val="BodyTextChar"/>
    <w:uiPriority w:val="99"/>
    <w:pPr>
      <w:spacing w:after="120" w:line="259" w:lineRule="auto"/>
      <w:jc w:val="left"/>
    </w:pPr>
    <w:rPr>
      <w:kern w:val="2"/>
    </w:rPr>
  </w:style>
  <w:style w:type="character" w:customStyle="1" w:styleId="BodyTextChar">
    <w:name w:val="Body Text Char"/>
    <w:link w:val="BodyText"/>
    <w:uiPriority w:val="99"/>
    <w:locked/>
    <w:rPr>
      <w:rFonts w:eastAsia="Times New Roman" w:cs="Times New Roman"/>
      <w:kern w:val="2"/>
      <w:sz w:val="22"/>
      <w:szCs w:val="22"/>
      <w:lang w:val="en-GB"/>
    </w:rPr>
  </w:style>
  <w:style w:type="paragraph" w:styleId="BodyTextIndent">
    <w:name w:val="Body Text Indent"/>
    <w:basedOn w:val="Normal"/>
    <w:link w:val="BodyTextIndentChar"/>
    <w:uiPriority w:val="99"/>
    <w:pPr>
      <w:spacing w:before="120" w:after="120"/>
      <w:ind w:left="1440" w:hanging="720"/>
      <w:jc w:val="left"/>
    </w:pPr>
  </w:style>
  <w:style w:type="character" w:customStyle="1" w:styleId="BodyTextIndentChar">
    <w:name w:val="Body Text Indent Char"/>
    <w:link w:val="BodyTextIndent"/>
    <w:uiPriority w:val="99"/>
    <w:locked/>
    <w:rPr>
      <w:rFonts w:ascii="Times New Roman" w:eastAsia="Times New Roman" w:hAnsi="Times New Roman" w:cs="Times New Roman"/>
      <w:sz w:val="22"/>
      <w:szCs w:val="22"/>
      <w:lang w:val="en-GB"/>
    </w:rPr>
  </w:style>
  <w:style w:type="character" w:styleId="CommentReference">
    <w:name w:val="annotation reference"/>
    <w:uiPriority w:val="99"/>
    <w:semiHidden/>
    <w:rPr>
      <w:rFonts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ascii="Times New Roman" w:eastAsia="Times New Roman" w:hAnsi="Times New Roman" w:cs="Times New Roman"/>
      <w:sz w:val="20"/>
      <w:szCs w:val="20"/>
      <w:lang w:val="en-GB"/>
    </w:rPr>
  </w:style>
  <w:style w:type="paragraph" w:customStyle="1" w:styleId="Cornernotation">
    <w:name w:val="Corner notation"/>
    <w:basedOn w:val="Normal"/>
    <w:uiPriority w:val="99"/>
    <w:pPr>
      <w:ind w:left="170" w:right="3119" w:hanging="170"/>
      <w:jc w:val="left"/>
    </w:pPr>
  </w:style>
  <w:style w:type="character" w:styleId="EndnoteReference">
    <w:name w:val="endnote reference"/>
    <w:uiPriority w:val="99"/>
    <w:semiHidden/>
    <w:rPr>
      <w:rFonts w:cs="Times New Roman"/>
      <w:vertAlign w:val="superscript"/>
      <w:lang w:val="en-GB"/>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Pr>
      <w:rFonts w:ascii="Courier New" w:eastAsia="Times New Roman" w:hAnsi="Courier New" w:cs="Times New Roman"/>
      <w:sz w:val="22"/>
      <w:szCs w:val="22"/>
      <w:lang w:val="en-GB"/>
    </w:rPr>
  </w:style>
  <w:style w:type="character" w:styleId="FollowedHyperlink">
    <w:name w:val="FollowedHyperlink"/>
    <w:uiPriority w:val="99"/>
    <w:rPr>
      <w:rFonts w:cs="Times New Roman"/>
      <w:color w:val="800080"/>
      <w:u w:val="single"/>
      <w:lang w:val="en-GB"/>
    </w:rPr>
  </w:style>
  <w:style w:type="character" w:styleId="FootnoteReference">
    <w:name w:val="footnote reference"/>
    <w:uiPriority w:val="99"/>
    <w:semiHidden/>
    <w:rPr>
      <w:rFonts w:cs="Times New Roman"/>
      <w:vertAlign w:val="superscript"/>
      <w:lang w:val="en-GB"/>
    </w:rPr>
  </w:style>
  <w:style w:type="paragraph" w:styleId="FootnoteText">
    <w:name w:val="footnote text"/>
    <w:basedOn w:val="Normal"/>
    <w:link w:val="FootnoteTextChar"/>
    <w:uiPriority w:val="99"/>
    <w:semiHidden/>
    <w:pPr>
      <w:jc w:val="left"/>
    </w:pPr>
    <w:rPr>
      <w:sz w:val="18"/>
      <w:szCs w:val="20"/>
    </w:rPr>
  </w:style>
  <w:style w:type="character" w:customStyle="1" w:styleId="FootnoteTextChar">
    <w:name w:val="Footnote Text Char"/>
    <w:link w:val="FootnoteText"/>
    <w:uiPriority w:val="99"/>
    <w:semiHidden/>
    <w:locked/>
    <w:rPr>
      <w:rFonts w:ascii="Times New Roman" w:eastAsia="Times New Roman" w:hAnsi="Times New Roman" w:cs="Times New Roman"/>
      <w:sz w:val="20"/>
      <w:szCs w:val="20"/>
      <w:lang w:val="en-GB"/>
    </w:rPr>
  </w:style>
  <w:style w:type="paragraph" w:customStyle="1" w:styleId="HEADING">
    <w:name w:val="HEADING"/>
    <w:basedOn w:val="Normal"/>
    <w:uiPriority w:val="99"/>
    <w:pPr>
      <w:keepNext/>
      <w:spacing w:before="240" w:after="120"/>
      <w:jc w:val="center"/>
    </w:pPr>
    <w:rPr>
      <w:b/>
      <w:bCs/>
      <w:caps/>
    </w:rPr>
  </w:style>
  <w:style w:type="paragraph" w:customStyle="1" w:styleId="HEADINGNOTFORTOC">
    <w:name w:val="HEADING (NOT FOR TOC)"/>
    <w:basedOn w:val="Heading1"/>
    <w:next w:val="Heading2"/>
    <w:uiPriority w:val="99"/>
  </w:style>
  <w:style w:type="paragraph" w:customStyle="1" w:styleId="Heading1longmultiline">
    <w:name w:val="Heading 1 (long multiline)"/>
    <w:basedOn w:val="Heading1"/>
    <w:uiPriority w:val="99"/>
    <w:pPr>
      <w:ind w:left="1843" w:hanging="1134"/>
    </w:pPr>
  </w:style>
  <w:style w:type="paragraph" w:customStyle="1" w:styleId="Heading1multiline">
    <w:name w:val="Heading 1 (multiline)"/>
    <w:basedOn w:val="Heading1"/>
    <w:uiPriority w:val="99"/>
    <w:pPr>
      <w:ind w:left="1843" w:right="996"/>
    </w:pPr>
  </w:style>
  <w:style w:type="paragraph" w:customStyle="1" w:styleId="Heading2multiline">
    <w:name w:val="Heading 2 (multiline)"/>
    <w:basedOn w:val="Heading1"/>
    <w:next w:val="Normal"/>
    <w:uiPriority w:val="99"/>
    <w:pPr>
      <w:spacing w:before="120"/>
      <w:ind w:left="1843" w:right="998"/>
    </w:pPr>
    <w:rPr>
      <w:i/>
      <w:iCs/>
      <w:caps/>
    </w:rPr>
  </w:style>
  <w:style w:type="paragraph" w:customStyle="1" w:styleId="Heading2longmultiline">
    <w:name w:val="Heading 2 (long multiline)"/>
    <w:basedOn w:val="Heading2multiline"/>
    <w:uiPriority w:val="99"/>
    <w:pPr>
      <w:ind w:left="2127" w:hanging="1276"/>
    </w:pPr>
  </w:style>
  <w:style w:type="paragraph" w:customStyle="1" w:styleId="heading2notforTOC">
    <w:name w:val="heading 2 not for TOC"/>
    <w:basedOn w:val="Heading3"/>
    <w:uiPriority w:val="99"/>
  </w:style>
  <w:style w:type="paragraph" w:customStyle="1" w:styleId="Heading3multiline">
    <w:name w:val="Heading 3 (multiline)"/>
    <w:basedOn w:val="Heading3"/>
    <w:next w:val="Normal"/>
    <w:uiPriority w:val="99"/>
    <w:pPr>
      <w:ind w:left="1418" w:hanging="425"/>
    </w:pPr>
  </w:style>
  <w:style w:type="paragraph" w:customStyle="1" w:styleId="Heading4indent">
    <w:name w:val="Heading 4 indent"/>
    <w:basedOn w:val="Heading4"/>
    <w:uiPriority w:val="99"/>
    <w:pPr>
      <w:ind w:left="720"/>
      <w:outlineLvl w:val="9"/>
    </w:pPr>
  </w:style>
  <w:style w:type="character" w:styleId="PageNumber">
    <w:name w:val="page number"/>
    <w:uiPriority w:val="99"/>
    <w:rPr>
      <w:rFonts w:ascii="Times New Roman" w:hAnsi="Times New Roman" w:cs="Times New Roman"/>
      <w:sz w:val="22"/>
      <w:lang w:val="en-GB"/>
    </w:rPr>
  </w:style>
  <w:style w:type="paragraph" w:customStyle="1" w:styleId="Para1">
    <w:name w:val="Para1"/>
    <w:basedOn w:val="Normal"/>
    <w:uiPriority w:val="99"/>
    <w:pPr>
      <w:numPr>
        <w:numId w:val="12"/>
      </w:numPr>
      <w:tabs>
        <w:tab w:val="clear" w:pos="360"/>
      </w:tabs>
      <w:spacing w:before="120" w:after="120"/>
      <w:ind w:left="567"/>
    </w:pPr>
    <w:rPr>
      <w:szCs w:val="18"/>
    </w:rPr>
  </w:style>
  <w:style w:type="paragraph" w:customStyle="1" w:styleId="Para2">
    <w:name w:val="Para2"/>
    <w:basedOn w:val="Para1"/>
    <w:uiPriority w:val="99"/>
    <w:pPr>
      <w:numPr>
        <w:numId w:val="0"/>
      </w:numPr>
      <w:autoSpaceDE w:val="0"/>
      <w:autoSpaceDN w:val="0"/>
    </w:pPr>
  </w:style>
  <w:style w:type="paragraph" w:customStyle="1" w:styleId="Para3">
    <w:name w:val="Para3"/>
    <w:basedOn w:val="Normal"/>
    <w:uiPriority w:val="99"/>
    <w:pPr>
      <w:numPr>
        <w:ilvl w:val="3"/>
        <w:numId w:val="13"/>
      </w:numPr>
      <w:tabs>
        <w:tab w:val="left" w:pos="1980"/>
      </w:tabs>
      <w:spacing w:before="80" w:after="80"/>
    </w:pPr>
    <w:rPr>
      <w:szCs w:val="20"/>
    </w:rPr>
  </w:style>
  <w:style w:type="paragraph" w:customStyle="1" w:styleId="para4">
    <w:name w:val="para4"/>
    <w:basedOn w:val="Normal"/>
    <w:uiPriority w:val="99"/>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pPr>
      <w:spacing w:before="120" w:after="120"/>
      <w:ind w:left="720" w:right="720"/>
    </w:pPr>
    <w:rPr>
      <w:bCs/>
    </w:rPr>
  </w:style>
  <w:style w:type="paragraph" w:customStyle="1" w:styleId="recommendationheader">
    <w:name w:val="recommendation header"/>
    <w:basedOn w:val="Heading2"/>
    <w:uiPriority w:val="99"/>
  </w:style>
  <w:style w:type="paragraph" w:customStyle="1" w:styleId="recommendationheaderlong">
    <w:name w:val="recommendation header long"/>
    <w:basedOn w:val="Heading2longmultiline"/>
    <w:uiPriority w:val="99"/>
  </w:style>
  <w:style w:type="paragraph" w:customStyle="1" w:styleId="reference">
    <w:name w:val="reference"/>
    <w:basedOn w:val="Heading9"/>
    <w:uiPriority w:val="99"/>
    <w:rPr>
      <w:i/>
      <w:sz w:val="18"/>
    </w:rPr>
  </w:style>
  <w:style w:type="character" w:customStyle="1" w:styleId="StyleFootnoteReferenceNounderline">
    <w:name w:val="Style Footnote Reference + No underline"/>
    <w:uiPriority w:val="99"/>
    <w:rPr>
      <w:sz w:val="18"/>
      <w:u w:val="none"/>
      <w:vertAlign w:val="baseline"/>
      <w:lang w:val="en-GB"/>
    </w:rPr>
  </w:style>
  <w:style w:type="paragraph" w:customStyle="1" w:styleId="tabletitle">
    <w:name w:val="table title"/>
    <w:basedOn w:val="Heading2"/>
    <w:uiPriority w:val="99"/>
    <w:pPr>
      <w:outlineLvl w:val="9"/>
    </w:pPr>
    <w:rPr>
      <w:i/>
    </w:rPr>
  </w:style>
  <w:style w:type="paragraph" w:styleId="TOAHeading">
    <w:name w:val="toa heading"/>
    <w:basedOn w:val="Normal"/>
    <w:next w:val="Normal"/>
    <w:uiPriority w:val="99"/>
    <w:semiHidden/>
    <w:pPr>
      <w:spacing w:before="120"/>
    </w:pPr>
    <w:rPr>
      <w:b/>
      <w:bCs/>
      <w:sz w:val="24"/>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sz w:val="18"/>
      <w:szCs w:val="18"/>
    </w:rPr>
  </w:style>
  <w:style w:type="character" w:styleId="Hyperlink">
    <w:name w:val="Hyperlink"/>
    <w:uiPriority w:val="99"/>
    <w:rPr>
      <w:rFonts w:ascii="Times New Roman" w:hAnsi="Times New Roman" w:cs="Times New Roman"/>
      <w:color w:val="0000FF"/>
      <w:u w:val="single"/>
      <w:lang w:val="en-GB"/>
    </w:rPr>
  </w:style>
  <w:style w:type="character" w:customStyle="1" w:styleId="Para1Char">
    <w:name w:val="Para1 Char"/>
    <w:uiPriority w:val="99"/>
    <w:locked/>
    <w:rPr>
      <w:sz w:val="18"/>
      <w:lang w:val="en-GB"/>
    </w:rPr>
  </w:style>
  <w:style w:type="paragraph" w:customStyle="1" w:styleId="CBD-Doc-Type">
    <w:name w:val="CBD-Doc-Type"/>
    <w:basedOn w:val="Normal"/>
    <w:uiPriority w:val="99"/>
    <w:pPr>
      <w:keepLines/>
      <w:spacing w:before="240" w:after="120"/>
    </w:pPr>
    <w:rPr>
      <w:b/>
      <w:i/>
      <w:sz w:val="24"/>
    </w:rPr>
  </w:style>
  <w:style w:type="paragraph" w:customStyle="1" w:styleId="CBD-Doc">
    <w:name w:val="CBD-Doc"/>
    <w:basedOn w:val="Normal"/>
    <w:uiPriority w:val="99"/>
    <w:pPr>
      <w:keepLines/>
      <w:numPr>
        <w:numId w:val="14"/>
      </w:numPr>
      <w:spacing w:after="120"/>
    </w:pPr>
  </w:style>
  <w:style w:type="paragraph" w:styleId="ListParagraph">
    <w:name w:val="List Paragraph"/>
    <w:basedOn w:val="Normal"/>
    <w:uiPriority w:val="99"/>
    <w:qFormat/>
    <w:pPr>
      <w:ind w:left="720"/>
      <w:contextualSpacing/>
    </w:pPr>
  </w:style>
  <w:style w:type="paragraph" w:styleId="Caption">
    <w:name w:val="caption"/>
    <w:basedOn w:val="Normal"/>
    <w:next w:val="Normal"/>
    <w:uiPriority w:val="99"/>
    <w:qFormat/>
    <w:pPr>
      <w:keepNext/>
      <w:keepLines/>
      <w:spacing w:after="200"/>
    </w:pPr>
    <w:rPr>
      <w:b/>
      <w:iCs/>
      <w:szCs w:val="18"/>
    </w:rPr>
  </w:style>
  <w:style w:type="paragraph" w:customStyle="1" w:styleId="Style1">
    <w:name w:val="Style1"/>
    <w:basedOn w:val="Heading2"/>
    <w:uiPriority w:val="99"/>
    <w:rPr>
      <w:i/>
    </w:rPr>
  </w:style>
  <w:style w:type="table" w:customStyle="1" w:styleId="TableGrid1">
    <w:name w:val="Table Grid1"/>
    <w:uiPriority w:val="99"/>
    <w:tblPr>
      <w:tblInd w:w="0" w:type="dxa"/>
      <w:tblCellMar>
        <w:top w:w="0" w:type="dxa"/>
        <w:left w:w="108" w:type="dxa"/>
        <w:bottom w:w="0" w:type="dxa"/>
        <w:right w:w="108" w:type="dxa"/>
      </w:tblCellMar>
    </w:tblPr>
  </w:style>
  <w:style w:type="paragraph" w:styleId="Revision">
    <w:name w:val="Revision"/>
    <w:hidden/>
    <w:uiPriority w:val="99"/>
    <w:semiHidden/>
    <w:rPr>
      <w:noProof/>
      <w:sz w:val="24"/>
      <w:szCs w:val="24"/>
    </w:rPr>
  </w:style>
  <w:style w:type="paragraph" w:customStyle="1" w:styleId="DarkList-Accent31">
    <w:name w:val="Dark List - Accent 31"/>
    <w:hidden/>
    <w:uiPriority w:val="99"/>
    <w:semiHidden/>
    <w:rPr>
      <w:sz w:val="22"/>
      <w:szCs w:val="22"/>
      <w:lang w:val="en-GB"/>
    </w:rPr>
  </w:style>
  <w:style w:type="paragraph" w:customStyle="1" w:styleId="CBDNormalNoNumber">
    <w:name w:val="CBD_Normal_NoNumber"/>
    <w:basedOn w:val="CBDNormal"/>
    <w:uiPriority w:val="99"/>
    <w:pPr>
      <w:spacing w:after="120"/>
      <w:ind w:left="567"/>
    </w:pPr>
  </w:style>
  <w:style w:type="paragraph" w:customStyle="1" w:styleId="Footnote">
    <w:name w:val="Footnote"/>
    <w:basedOn w:val="FootnoteText"/>
    <w:uiPriority w:val="99"/>
    <w:semiHidden/>
    <w:rPr>
      <w:szCs w:val="18"/>
    </w:rPr>
  </w:style>
  <w:style w:type="paragraph" w:customStyle="1" w:styleId="Annex">
    <w:name w:val="Annex"/>
    <w:basedOn w:val="Normal"/>
    <w:uiPriority w:val="99"/>
    <w:semiHidden/>
    <w:pPr>
      <w:spacing w:after="240"/>
    </w:pPr>
    <w:rPr>
      <w:b/>
      <w:sz w:val="28"/>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pPr>
      <w:numPr>
        <w:numId w:val="1"/>
      </w:numPr>
      <w:tabs>
        <w:tab w:val="clear" w:pos="360"/>
        <w:tab w:val="num" w:pos="780"/>
        <w:tab w:val="left" w:pos="3969"/>
      </w:tabs>
      <w:spacing w:before="120" w:after="120"/>
      <w:ind w:left="567"/>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Times New Roman" w:eastAsia="Times New Roman" w:hAnsi="Times New Roman" w:cs="Times New Roman"/>
      <w:b/>
      <w:bCs/>
      <w:sz w:val="20"/>
      <w:szCs w:val="20"/>
      <w:lang w:val="en-GB"/>
    </w:rPr>
  </w:style>
  <w:style w:type="paragraph" w:customStyle="1" w:styleId="Item">
    <w:name w:val="Item"/>
    <w:basedOn w:val="Normal"/>
    <w:uiPriority w:val="99"/>
    <w:semiHidden/>
    <w:pPr>
      <w:suppressLineNumbers/>
      <w:suppressAutoHyphens/>
      <w:spacing w:before="240" w:after="120"/>
      <w:jc w:val="left"/>
    </w:pPr>
    <w:rPr>
      <w:b/>
      <w:iCs/>
      <w:kern w:val="22"/>
      <w:sz w:val="24"/>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sz w:val="22"/>
      <w:szCs w:val="22"/>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sz w:val="2"/>
      <w:szCs w:val="22"/>
      <w:lang w:val="en-GB"/>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keepLines/>
      <w:spacing w:before="240" w:after="120"/>
      <w:jc w:val="left"/>
    </w:pPr>
    <w:rPr>
      <w:b/>
      <w:sz w:val="24"/>
    </w:rPr>
  </w:style>
  <w:style w:type="paragraph" w:customStyle="1" w:styleId="CBDDesicionText">
    <w:name w:val="CBD_DesicionText"/>
    <w:basedOn w:val="CBDNormal"/>
    <w:uiPriority w:val="99"/>
    <w:pPr>
      <w:spacing w:after="120"/>
      <w:ind w:left="567"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Number"/>
    <w:uiPriority w:val="99"/>
    <w:pPr>
      <w:keepNext/>
      <w:keepLines/>
      <w:numPr>
        <w:numId w:val="0"/>
      </w:numPr>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F81BD"/>
        <w:left w:val="single" w:sz="2" w:space="10" w:color="4F81BD"/>
        <w:bottom w:val="single" w:sz="2" w:space="10" w:color="4F81BD"/>
        <w:right w:val="single" w:sz="2" w:space="10" w:color="4F81BD"/>
      </w:pBdr>
      <w:ind w:left="1152" w:right="1152"/>
    </w:pPr>
    <w:rPr>
      <w:i/>
      <w:iCs/>
      <w:color w:val="4F81BD"/>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ascii="Times New Roman" w:eastAsia="Times New Roman" w:hAnsi="Times New Roman" w:cs="Times New Roman"/>
      <w:sz w:val="22"/>
      <w:szCs w:val="22"/>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ascii="Times New Roman" w:eastAsia="Times New Roman" w:hAnsi="Times New Roman" w:cs="Times New Roman"/>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kern w:val="0"/>
    </w:rPr>
  </w:style>
  <w:style w:type="character" w:customStyle="1" w:styleId="BodyTextFirstIndentChar">
    <w:name w:val="Body Text First Indent Char"/>
    <w:link w:val="BodyTextFirstIndent"/>
    <w:uiPriority w:val="99"/>
    <w:semiHidden/>
    <w:locked/>
    <w:rPr>
      <w:rFonts w:ascii="Times New Roman" w:eastAsia="Times New Roma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pPr>
      <w:spacing w:before="0" w:after="0"/>
      <w:ind w:left="360" w:firstLine="360"/>
      <w:jc w:val="both"/>
    </w:pPr>
  </w:style>
  <w:style w:type="character" w:customStyle="1" w:styleId="BodyTextFirstIndent2Char">
    <w:name w:val="Body Text First Indent 2 Char"/>
    <w:link w:val="BodyTextFirstIndent2"/>
    <w:uiPriority w:val="99"/>
    <w:semiHidden/>
    <w:locked/>
    <w:rPr>
      <w:rFonts w:ascii="Times New Roman" w:eastAsia="Times New Roman" w:hAnsi="Times New Roman" w:cs="Times New Roman"/>
      <w:sz w:val="22"/>
      <w:szCs w:val="22"/>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link w:val="BodyTextIndent2"/>
    <w:uiPriority w:val="99"/>
    <w:semiHidden/>
    <w:locked/>
    <w:rPr>
      <w:rFonts w:ascii="Times New Roman" w:eastAsia="Times New Roman" w:hAnsi="Times New Roman" w:cs="Times New Roman"/>
      <w:sz w:val="22"/>
      <w:szCs w:val="22"/>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link w:val="BodyTextIndent3"/>
    <w:uiPriority w:val="99"/>
    <w:semiHidden/>
    <w:locked/>
    <w:rPr>
      <w:rFonts w:ascii="Times New Roman" w:eastAsia="Times New Roman" w:hAnsi="Times New Roman" w:cs="Times New Roman"/>
      <w:sz w:val="16"/>
      <w:szCs w:val="16"/>
      <w:lang w:val="en-GB"/>
    </w:rPr>
  </w:style>
  <w:style w:type="character" w:styleId="BookTitle">
    <w:name w:val="Book Title"/>
    <w:uiPriority w:val="99"/>
    <w:qFormat/>
    <w:rPr>
      <w:rFonts w:cs="Times New Roman"/>
      <w:b/>
      <w:bCs/>
      <w:i/>
      <w:iCs/>
      <w:spacing w:val="5"/>
      <w:lang w:val="en-GB"/>
    </w:rPr>
  </w:style>
  <w:style w:type="paragraph" w:styleId="Closing">
    <w:name w:val="Closing"/>
    <w:basedOn w:val="Normal"/>
    <w:link w:val="ClosingChar"/>
    <w:uiPriority w:val="99"/>
    <w:semiHidden/>
    <w:pPr>
      <w:ind w:left="4252"/>
    </w:pPr>
  </w:style>
  <w:style w:type="character" w:customStyle="1" w:styleId="ClosingChar">
    <w:name w:val="Closing Char"/>
    <w:link w:val="Closing"/>
    <w:uiPriority w:val="99"/>
    <w:semiHidden/>
    <w:locked/>
    <w:rPr>
      <w:rFonts w:ascii="Times New Roman" w:eastAsia="Times New Roman" w:hAnsi="Times New Roman" w:cs="Times New Roman"/>
      <w:sz w:val="22"/>
      <w:szCs w:val="22"/>
      <w:lang w:val="en-GB"/>
    </w:rPr>
  </w:style>
  <w:style w:type="table" w:styleId="ColorfulGrid">
    <w:name w:val="Colorful Grid"/>
    <w:basedOn w:val="TableNormal"/>
    <w:uiPriority w:val="99"/>
    <w:semiHidden/>
    <w:rPr>
      <w:color w:val="000000"/>
    </w:rPr>
    <w:tblPr/>
    <w:tcPr>
      <w:shd w:val="clear" w:color="auto" w:fill="CCCCCC"/>
    </w:tcPr>
  </w:style>
  <w:style w:type="table" w:styleId="ColorfulGrid-Accent1">
    <w:name w:val="Colorful Grid Accent 1"/>
    <w:basedOn w:val="TableNormal"/>
    <w:uiPriority w:val="99"/>
    <w:semiHidden/>
    <w:rPr>
      <w:color w:val="000000"/>
    </w:rPr>
    <w:tblPr/>
    <w:tcPr>
      <w:shd w:val="clear" w:color="auto" w:fill="DBE5F1"/>
    </w:tcPr>
  </w:style>
  <w:style w:type="table" w:styleId="ColorfulGrid-Accent2">
    <w:name w:val="Colorful Grid Accent 2"/>
    <w:basedOn w:val="TableNormal"/>
    <w:uiPriority w:val="99"/>
    <w:semiHidden/>
    <w:rPr>
      <w:color w:val="000000"/>
    </w:rPr>
    <w:tblPr/>
    <w:tcPr>
      <w:shd w:val="clear" w:color="auto" w:fill="F2DBDB"/>
    </w:tcPr>
  </w:style>
  <w:style w:type="table" w:styleId="ColorfulGrid-Accent3">
    <w:name w:val="Colorful Grid Accent 3"/>
    <w:basedOn w:val="TableNormal"/>
    <w:uiPriority w:val="99"/>
    <w:semiHidden/>
    <w:rPr>
      <w:color w:val="000000"/>
    </w:rPr>
    <w:tblPr/>
    <w:tcPr>
      <w:shd w:val="clear" w:color="auto" w:fill="EAF1DD"/>
    </w:tcPr>
  </w:style>
  <w:style w:type="table" w:styleId="ColorfulGrid-Accent4">
    <w:name w:val="Colorful Grid Accent 4"/>
    <w:basedOn w:val="TableNormal"/>
    <w:uiPriority w:val="99"/>
    <w:semiHidden/>
    <w:rPr>
      <w:color w:val="000000"/>
    </w:rPr>
    <w:tblPr/>
    <w:tcPr>
      <w:shd w:val="clear" w:color="auto" w:fill="E5DFEC"/>
    </w:tcPr>
  </w:style>
  <w:style w:type="table" w:styleId="ColorfulGrid-Accent5">
    <w:name w:val="Colorful Grid Accent 5"/>
    <w:basedOn w:val="TableNormal"/>
    <w:uiPriority w:val="99"/>
    <w:semiHidden/>
    <w:rPr>
      <w:color w:val="000000"/>
    </w:rPr>
    <w:tblPr/>
    <w:tcPr>
      <w:shd w:val="clear" w:color="auto" w:fill="DAEEF3"/>
    </w:tcPr>
  </w:style>
  <w:style w:type="table" w:styleId="ColorfulGrid-Accent6">
    <w:name w:val="Colorful Grid Accent 6"/>
    <w:basedOn w:val="TableNormal"/>
    <w:uiPriority w:val="99"/>
    <w:semiHidden/>
    <w:rPr>
      <w:color w:val="000000"/>
    </w:rPr>
    <w:tblPr/>
    <w:tcPr>
      <w:shd w:val="clear" w:color="auto" w:fill="FDE9D9"/>
    </w:tcPr>
  </w:style>
  <w:style w:type="table" w:styleId="ColorfulList">
    <w:name w:val="Colorful List"/>
    <w:basedOn w:val="TableNormal"/>
    <w:uiPriority w:val="99"/>
    <w:semiHidden/>
    <w:rPr>
      <w:color w:val="000000"/>
    </w:rPr>
    <w:tblPr/>
    <w:tcPr>
      <w:shd w:val="clear" w:color="auto" w:fill="E6E6E6"/>
    </w:tcPr>
  </w:style>
  <w:style w:type="table" w:styleId="ColorfulList-Accent1">
    <w:name w:val="Colorful List Accent 1"/>
    <w:basedOn w:val="TableNormal"/>
    <w:uiPriority w:val="99"/>
    <w:semiHidden/>
    <w:rPr>
      <w:color w:val="000000"/>
    </w:rPr>
    <w:tblPr/>
    <w:tcPr>
      <w:shd w:val="clear" w:color="auto" w:fill="EDF2F8"/>
    </w:tcPr>
  </w:style>
  <w:style w:type="table" w:styleId="ColorfulList-Accent2">
    <w:name w:val="Colorful List Accent 2"/>
    <w:basedOn w:val="TableNormal"/>
    <w:uiPriority w:val="99"/>
    <w:semiHidden/>
    <w:rPr>
      <w:color w:val="000000"/>
    </w:rPr>
    <w:tblPr/>
    <w:tcPr>
      <w:shd w:val="clear" w:color="auto" w:fill="F8EDED"/>
    </w:tcPr>
  </w:style>
  <w:style w:type="table" w:styleId="ColorfulList-Accent3">
    <w:name w:val="Colorful List Accent 3"/>
    <w:basedOn w:val="TableNormal"/>
    <w:uiPriority w:val="99"/>
    <w:semiHidden/>
    <w:rPr>
      <w:color w:val="000000"/>
    </w:rPr>
    <w:tblPr/>
    <w:tcPr>
      <w:shd w:val="clear" w:color="auto" w:fill="F5F8EE"/>
    </w:tcPr>
  </w:style>
  <w:style w:type="table" w:styleId="ColorfulList-Accent4">
    <w:name w:val="Colorful List Accent 4"/>
    <w:basedOn w:val="TableNormal"/>
    <w:uiPriority w:val="99"/>
    <w:semiHidden/>
    <w:rPr>
      <w:color w:val="000000"/>
    </w:rPr>
    <w:tblPr/>
    <w:tcPr>
      <w:shd w:val="clear" w:color="auto" w:fill="F2EFF6"/>
    </w:tcPr>
  </w:style>
  <w:style w:type="table" w:styleId="ColorfulList-Accent5">
    <w:name w:val="Colorful List Accent 5"/>
    <w:basedOn w:val="TableNormal"/>
    <w:uiPriority w:val="99"/>
    <w:semiHidden/>
    <w:rPr>
      <w:color w:val="000000"/>
    </w:rPr>
    <w:tblPr/>
    <w:tcPr>
      <w:shd w:val="clear" w:color="auto" w:fill="EDF6F9"/>
    </w:tcPr>
  </w:style>
  <w:style w:type="table" w:styleId="ColorfulList-Accent6">
    <w:name w:val="Colorful List Accent 6"/>
    <w:basedOn w:val="TableNormal"/>
    <w:uiPriority w:val="99"/>
    <w:semiHidden/>
    <w:rPr>
      <w:color w:val="000000"/>
    </w:rPr>
    <w:tblPr/>
    <w:tcPr>
      <w:shd w:val="clear" w:color="auto" w:fill="FEF4EC"/>
    </w:tcPr>
  </w:style>
  <w:style w:type="table" w:styleId="ColorfulShading">
    <w:name w:val="Colorful Shading"/>
    <w:basedOn w:val="TableNormal"/>
    <w:uiPriority w:val="99"/>
    <w:semiHidden/>
    <w:rPr>
      <w:color w:val="000000"/>
    </w:rPr>
    <w:tblPr/>
    <w:tcPr>
      <w:shd w:val="clear" w:color="auto" w:fill="E6E6E6"/>
    </w:tcPr>
  </w:style>
  <w:style w:type="table" w:styleId="ColorfulShading-Accent1">
    <w:name w:val="Colorful Shading Accent 1"/>
    <w:basedOn w:val="TableNormal"/>
    <w:uiPriority w:val="99"/>
    <w:semiHidden/>
    <w:rPr>
      <w:color w:val="000000"/>
    </w:rPr>
    <w:tblPr/>
    <w:tcPr>
      <w:shd w:val="clear" w:color="auto" w:fill="EDF2F8"/>
    </w:tcPr>
  </w:style>
  <w:style w:type="table" w:styleId="ColorfulShading-Accent2">
    <w:name w:val="Colorful Shading Accent 2"/>
    <w:basedOn w:val="TableNormal"/>
    <w:uiPriority w:val="99"/>
    <w:semiHidden/>
    <w:rPr>
      <w:color w:val="000000"/>
    </w:rPr>
    <w:tblPr/>
    <w:tcPr>
      <w:shd w:val="clear" w:color="auto" w:fill="F8EDED"/>
    </w:tcPr>
  </w:style>
  <w:style w:type="table" w:styleId="ColorfulShading-Accent3">
    <w:name w:val="Colorful Shading Accent 3"/>
    <w:basedOn w:val="TableNormal"/>
    <w:uiPriority w:val="99"/>
    <w:semiHidden/>
    <w:rPr>
      <w:color w:val="000000"/>
    </w:rPr>
    <w:tblPr/>
    <w:tcPr>
      <w:shd w:val="clear" w:color="auto" w:fill="F5F8EE"/>
    </w:tcPr>
  </w:style>
  <w:style w:type="table" w:styleId="ColorfulShading-Accent4">
    <w:name w:val="Colorful Shading Accent 4"/>
    <w:basedOn w:val="TableNormal"/>
    <w:uiPriority w:val="99"/>
    <w:semiHidden/>
    <w:rPr>
      <w:color w:val="000000"/>
    </w:rPr>
    <w:tblPr/>
    <w:tcPr>
      <w:shd w:val="clear" w:color="auto" w:fill="F2EFF6"/>
    </w:tcPr>
  </w:style>
  <w:style w:type="table" w:styleId="ColorfulShading-Accent5">
    <w:name w:val="Colorful Shading Accent 5"/>
    <w:basedOn w:val="TableNormal"/>
    <w:uiPriority w:val="99"/>
    <w:semiHidden/>
    <w:rPr>
      <w:color w:val="000000"/>
    </w:rPr>
    <w:tblPr/>
    <w:tcPr>
      <w:shd w:val="clear" w:color="auto" w:fill="EDF6F9"/>
    </w:tcPr>
  </w:style>
  <w:style w:type="table" w:styleId="ColorfulShading-Accent6">
    <w:name w:val="Colorful Shading Accent 6"/>
    <w:basedOn w:val="TableNormal"/>
    <w:uiPriority w:val="99"/>
    <w:semiHidden/>
    <w:rPr>
      <w:color w:val="000000"/>
    </w:rPr>
    <w:tblPr/>
    <w:tcPr>
      <w:shd w:val="clear" w:color="auto" w:fill="FEF4EC"/>
    </w:tcPr>
  </w:style>
  <w:style w:type="table" w:styleId="DarkList">
    <w:name w:val="Dark List"/>
    <w:basedOn w:val="TableNormal"/>
    <w:uiPriority w:val="99"/>
    <w:semiHidden/>
    <w:rPr>
      <w:color w:val="FFFFFF"/>
    </w:rPr>
    <w:tblPr/>
    <w:tcPr>
      <w:shd w:val="clear" w:color="auto" w:fill="000000"/>
    </w:tcPr>
  </w:style>
  <w:style w:type="table" w:styleId="DarkList-Accent1">
    <w:name w:val="Dark List Accent 1"/>
    <w:basedOn w:val="TableNormal"/>
    <w:uiPriority w:val="99"/>
    <w:semiHidden/>
    <w:rPr>
      <w:color w:val="FFFFFF"/>
    </w:rPr>
    <w:tblPr/>
    <w:tcPr>
      <w:shd w:val="clear" w:color="auto" w:fill="4F81BD"/>
    </w:tcPr>
  </w:style>
  <w:style w:type="table" w:styleId="DarkList-Accent2">
    <w:name w:val="Dark List Accent 2"/>
    <w:basedOn w:val="TableNormal"/>
    <w:uiPriority w:val="99"/>
    <w:semiHidden/>
    <w:rPr>
      <w:color w:val="FFFFFF"/>
    </w:rPr>
    <w:tblPr/>
    <w:tcPr>
      <w:shd w:val="clear" w:color="auto" w:fill="C0504D"/>
    </w:tcPr>
  </w:style>
  <w:style w:type="table" w:styleId="DarkList-Accent3">
    <w:name w:val="Dark List Accent 3"/>
    <w:basedOn w:val="TableNormal"/>
    <w:uiPriority w:val="99"/>
    <w:semiHidden/>
    <w:rPr>
      <w:color w:val="FFFFFF"/>
    </w:rPr>
    <w:tblPr/>
    <w:tcPr>
      <w:shd w:val="clear" w:color="auto" w:fill="9BBB59"/>
    </w:tcPr>
  </w:style>
  <w:style w:type="table" w:styleId="DarkList-Accent4">
    <w:name w:val="Dark List Accent 4"/>
    <w:basedOn w:val="TableNormal"/>
    <w:uiPriority w:val="99"/>
    <w:semiHidden/>
    <w:rPr>
      <w:color w:val="FFFFFF"/>
    </w:rPr>
    <w:tblPr/>
    <w:tcPr>
      <w:shd w:val="clear" w:color="auto" w:fill="8064A2"/>
    </w:tcPr>
  </w:style>
  <w:style w:type="table" w:styleId="DarkList-Accent5">
    <w:name w:val="Dark List Accent 5"/>
    <w:basedOn w:val="TableNormal"/>
    <w:uiPriority w:val="99"/>
    <w:semiHidden/>
    <w:rPr>
      <w:color w:val="FFFFFF"/>
    </w:rPr>
    <w:tblPr/>
    <w:tcPr>
      <w:shd w:val="clear" w:color="auto" w:fill="4BACC6"/>
    </w:tcPr>
  </w:style>
  <w:style w:type="table" w:styleId="DarkList-Accent6">
    <w:name w:val="Dark List Accent 6"/>
    <w:basedOn w:val="TableNormal"/>
    <w:uiPriority w:val="99"/>
    <w:semiHidden/>
    <w:rPr>
      <w:color w:val="FFFFFF"/>
    </w:rPr>
    <w:tblPr/>
    <w:tcPr>
      <w:shd w:val="clear" w:color="auto" w:fill="F79646"/>
    </w:tc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ascii="Times New Roman" w:eastAsia="Times New Roman" w:hAnsi="Times New Roman" w:cs="Times New Roman"/>
      <w:sz w:val="22"/>
      <w:szCs w:val="22"/>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link w:val="DocumentMap"/>
    <w:uiPriority w:val="99"/>
    <w:semiHidden/>
    <w:locked/>
    <w:rPr>
      <w:rFonts w:ascii="Times New Roman" w:eastAsia="Times New Roman" w:hAnsi="Times New Roman" w:cs="Times New Roman"/>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ascii="Times New Roman" w:eastAsia="Times New Roman" w:hAnsi="Times New Roman" w:cs="Times New Roman"/>
      <w:sz w:val="22"/>
      <w:szCs w:val="22"/>
      <w:lang w:val="en-GB"/>
    </w:rPr>
  </w:style>
  <w:style w:type="character" w:styleId="Emphasis">
    <w:name w:val="Emphasis"/>
    <w:uiPriority w:val="99"/>
    <w:qFormat/>
    <w:rPr>
      <w:rFonts w:cs="Times New Roman"/>
      <w:i/>
      <w:iCs/>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table" w:customStyle="1" w:styleId="GridTable1Light1">
    <w:name w:val="Grid Table 1 Light1"/>
    <w:uiPriority w:val="99"/>
    <w:tblPr>
      <w:tblInd w:w="0" w:type="dxa"/>
      <w:tblCellMar>
        <w:top w:w="0" w:type="dxa"/>
        <w:left w:w="108" w:type="dxa"/>
        <w:bottom w:w="0" w:type="dxa"/>
        <w:right w:w="108" w:type="dxa"/>
      </w:tblCellMar>
    </w:tblPr>
  </w:style>
  <w:style w:type="table" w:customStyle="1" w:styleId="GridTable1Light-Accent11">
    <w:name w:val="Grid Table 1 Light - Accent 11"/>
    <w:uiPriority w:val="99"/>
    <w:tblPr>
      <w:tblInd w:w="0" w:type="dxa"/>
      <w:tblCellMar>
        <w:top w:w="0" w:type="dxa"/>
        <w:left w:w="108" w:type="dxa"/>
        <w:bottom w:w="0" w:type="dxa"/>
        <w:right w:w="108" w:type="dxa"/>
      </w:tblCellMar>
    </w:tblPr>
  </w:style>
  <w:style w:type="table" w:customStyle="1" w:styleId="GridTable1Light-Accent21">
    <w:name w:val="Grid Table 1 Light - Accent 21"/>
    <w:uiPriority w:val="99"/>
    <w:tblPr>
      <w:tblInd w:w="0" w:type="dxa"/>
      <w:tblCellMar>
        <w:top w:w="0" w:type="dxa"/>
        <w:left w:w="108" w:type="dxa"/>
        <w:bottom w:w="0" w:type="dxa"/>
        <w:right w:w="108" w:type="dxa"/>
      </w:tblCellMar>
    </w:tblPr>
  </w:style>
  <w:style w:type="table" w:customStyle="1" w:styleId="GridTable1Light-Accent31">
    <w:name w:val="Grid Table 1 Light - Accent 31"/>
    <w:uiPriority w:val="99"/>
    <w:tblPr>
      <w:tblInd w:w="0" w:type="dxa"/>
      <w:tblCellMar>
        <w:top w:w="0" w:type="dxa"/>
        <w:left w:w="108" w:type="dxa"/>
        <w:bottom w:w="0" w:type="dxa"/>
        <w:right w:w="108" w:type="dxa"/>
      </w:tblCellMar>
    </w:tblPr>
  </w:style>
  <w:style w:type="table" w:customStyle="1" w:styleId="GridTable1Light-Accent41">
    <w:name w:val="Grid Table 1 Light - Accent 41"/>
    <w:uiPriority w:val="99"/>
    <w:tblPr>
      <w:tblInd w:w="0" w:type="dxa"/>
      <w:tblCellMar>
        <w:top w:w="0" w:type="dxa"/>
        <w:left w:w="108" w:type="dxa"/>
        <w:bottom w:w="0" w:type="dxa"/>
        <w:right w:w="108" w:type="dxa"/>
      </w:tblCellMar>
    </w:tblPr>
  </w:style>
  <w:style w:type="table" w:customStyle="1" w:styleId="GridTable1Light-Accent51">
    <w:name w:val="Grid Table 1 Light - Accent 51"/>
    <w:uiPriority w:val="99"/>
    <w:tblPr>
      <w:tblInd w:w="0" w:type="dxa"/>
      <w:tblCellMar>
        <w:top w:w="0" w:type="dxa"/>
        <w:left w:w="108" w:type="dxa"/>
        <w:bottom w:w="0" w:type="dxa"/>
        <w:right w:w="108" w:type="dxa"/>
      </w:tblCellMar>
    </w:tblPr>
  </w:style>
  <w:style w:type="table" w:customStyle="1" w:styleId="GridTable1Light-Accent61">
    <w:name w:val="Grid Table 1 Light - Accent 61"/>
    <w:uiPriority w:val="99"/>
    <w:tblPr>
      <w:tblInd w:w="0" w:type="dxa"/>
      <w:tblCellMar>
        <w:top w:w="0" w:type="dxa"/>
        <w:left w:w="108" w:type="dxa"/>
        <w:bottom w:w="0" w:type="dxa"/>
        <w:right w:w="108" w:type="dxa"/>
      </w:tblCellMar>
    </w:tblPr>
  </w:style>
  <w:style w:type="table" w:customStyle="1" w:styleId="GridTable21">
    <w:name w:val="Grid Table 21"/>
    <w:uiPriority w:val="99"/>
    <w:tblPr>
      <w:tblInd w:w="0" w:type="dxa"/>
      <w:tblCellMar>
        <w:top w:w="0" w:type="dxa"/>
        <w:left w:w="108" w:type="dxa"/>
        <w:bottom w:w="0" w:type="dxa"/>
        <w:right w:w="108" w:type="dxa"/>
      </w:tblCellMar>
    </w:tblPr>
  </w:style>
  <w:style w:type="table" w:customStyle="1" w:styleId="GridTable2-Accent11">
    <w:name w:val="Grid Table 2 - Accent 11"/>
    <w:uiPriority w:val="99"/>
    <w:tblPr>
      <w:tblInd w:w="0" w:type="dxa"/>
      <w:tblCellMar>
        <w:top w:w="0" w:type="dxa"/>
        <w:left w:w="108" w:type="dxa"/>
        <w:bottom w:w="0" w:type="dxa"/>
        <w:right w:w="108" w:type="dxa"/>
      </w:tblCellMar>
    </w:tblPr>
  </w:style>
  <w:style w:type="table" w:customStyle="1" w:styleId="GridTable2-Accent21">
    <w:name w:val="Grid Table 2 - Accent 21"/>
    <w:uiPriority w:val="99"/>
    <w:tblPr>
      <w:tblInd w:w="0" w:type="dxa"/>
      <w:tblCellMar>
        <w:top w:w="0" w:type="dxa"/>
        <w:left w:w="108" w:type="dxa"/>
        <w:bottom w:w="0" w:type="dxa"/>
        <w:right w:w="108" w:type="dxa"/>
      </w:tblCellMar>
    </w:tblPr>
  </w:style>
  <w:style w:type="table" w:customStyle="1" w:styleId="GridTable2-Accent31">
    <w:name w:val="Grid Table 2 - Accent 31"/>
    <w:uiPriority w:val="99"/>
    <w:tblPr>
      <w:tblInd w:w="0" w:type="dxa"/>
      <w:tblCellMar>
        <w:top w:w="0" w:type="dxa"/>
        <w:left w:w="108" w:type="dxa"/>
        <w:bottom w:w="0" w:type="dxa"/>
        <w:right w:w="108" w:type="dxa"/>
      </w:tblCellMar>
    </w:tblPr>
  </w:style>
  <w:style w:type="table" w:customStyle="1" w:styleId="GridTable2-Accent41">
    <w:name w:val="Grid Table 2 - Accent 41"/>
    <w:uiPriority w:val="99"/>
    <w:tblPr>
      <w:tblInd w:w="0" w:type="dxa"/>
      <w:tblCellMar>
        <w:top w:w="0" w:type="dxa"/>
        <w:left w:w="108" w:type="dxa"/>
        <w:bottom w:w="0" w:type="dxa"/>
        <w:right w:w="108" w:type="dxa"/>
      </w:tblCellMar>
    </w:tblPr>
  </w:style>
  <w:style w:type="table" w:customStyle="1" w:styleId="GridTable2-Accent51">
    <w:name w:val="Grid Table 2 - Accent 51"/>
    <w:uiPriority w:val="99"/>
    <w:tblPr>
      <w:tblInd w:w="0" w:type="dxa"/>
      <w:tblCellMar>
        <w:top w:w="0" w:type="dxa"/>
        <w:left w:w="108" w:type="dxa"/>
        <w:bottom w:w="0" w:type="dxa"/>
        <w:right w:w="108" w:type="dxa"/>
      </w:tblCellMar>
    </w:tblPr>
  </w:style>
  <w:style w:type="table" w:customStyle="1" w:styleId="GridTable2-Accent61">
    <w:name w:val="Grid Table 2 - Accent 61"/>
    <w:uiPriority w:val="99"/>
    <w:tblPr>
      <w:tblInd w:w="0" w:type="dxa"/>
      <w:tblCellMar>
        <w:top w:w="0" w:type="dxa"/>
        <w:left w:w="108" w:type="dxa"/>
        <w:bottom w:w="0" w:type="dxa"/>
        <w:right w:w="108" w:type="dxa"/>
      </w:tblCellMar>
    </w:tblPr>
  </w:style>
  <w:style w:type="table" w:customStyle="1" w:styleId="GridTable31">
    <w:name w:val="Grid Table 31"/>
    <w:uiPriority w:val="99"/>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tblPr>
      <w:tblInd w:w="0" w:type="dxa"/>
      <w:tblCellMar>
        <w:top w:w="0" w:type="dxa"/>
        <w:left w:w="108" w:type="dxa"/>
        <w:bottom w:w="0" w:type="dxa"/>
        <w:right w:w="108" w:type="dxa"/>
      </w:tblCellMar>
    </w:tblPr>
    <w:tcPr>
      <w:shd w:val="clear" w:color="auto" w:fill="CCCCCC"/>
    </w:tcPr>
  </w:style>
  <w:style w:type="table" w:customStyle="1" w:styleId="GridTable4-Accent11">
    <w:name w:val="Grid Table 4 - Accent 11"/>
    <w:uiPriority w:val="99"/>
    <w:tblPr>
      <w:tblInd w:w="0" w:type="dxa"/>
      <w:tblCellMar>
        <w:top w:w="0" w:type="dxa"/>
        <w:left w:w="108" w:type="dxa"/>
        <w:bottom w:w="0" w:type="dxa"/>
        <w:right w:w="108" w:type="dxa"/>
      </w:tblCellMar>
    </w:tblPr>
    <w:tcPr>
      <w:shd w:val="clear" w:color="auto" w:fill="DBE5F1"/>
    </w:tcPr>
  </w:style>
  <w:style w:type="table" w:customStyle="1" w:styleId="GridTable4-Accent21">
    <w:name w:val="Grid Table 4 - Accent 21"/>
    <w:uiPriority w:val="99"/>
    <w:tblPr>
      <w:tblInd w:w="0" w:type="dxa"/>
      <w:tblCellMar>
        <w:top w:w="0" w:type="dxa"/>
        <w:left w:w="108" w:type="dxa"/>
        <w:bottom w:w="0" w:type="dxa"/>
        <w:right w:w="108" w:type="dxa"/>
      </w:tblCellMar>
    </w:tblPr>
    <w:tcPr>
      <w:shd w:val="clear" w:color="auto" w:fill="F2DBDB"/>
    </w:tcPr>
  </w:style>
  <w:style w:type="table" w:customStyle="1" w:styleId="GridTable4-Accent31">
    <w:name w:val="Grid Table 4 - Accent 31"/>
    <w:uiPriority w:val="99"/>
    <w:tblPr>
      <w:tblInd w:w="0" w:type="dxa"/>
      <w:tblCellMar>
        <w:top w:w="0" w:type="dxa"/>
        <w:left w:w="108" w:type="dxa"/>
        <w:bottom w:w="0" w:type="dxa"/>
        <w:right w:w="108" w:type="dxa"/>
      </w:tblCellMar>
    </w:tblPr>
    <w:tcPr>
      <w:shd w:val="clear" w:color="auto" w:fill="EAF1DD"/>
    </w:tcPr>
  </w:style>
  <w:style w:type="table" w:customStyle="1" w:styleId="GridTable4-Accent41">
    <w:name w:val="Grid Table 4 - Accent 41"/>
    <w:uiPriority w:val="99"/>
    <w:tblPr>
      <w:tblInd w:w="0" w:type="dxa"/>
      <w:tblCellMar>
        <w:top w:w="0" w:type="dxa"/>
        <w:left w:w="108" w:type="dxa"/>
        <w:bottom w:w="0" w:type="dxa"/>
        <w:right w:w="108" w:type="dxa"/>
      </w:tblCellMar>
    </w:tblPr>
    <w:tcPr>
      <w:shd w:val="clear" w:color="auto" w:fill="E5DFEC"/>
    </w:tcPr>
  </w:style>
  <w:style w:type="table" w:customStyle="1" w:styleId="GridTable4-Accent51">
    <w:name w:val="Grid Table 4 - Accent 51"/>
    <w:uiPriority w:val="99"/>
    <w:tblPr>
      <w:tblInd w:w="0" w:type="dxa"/>
      <w:tblCellMar>
        <w:top w:w="0" w:type="dxa"/>
        <w:left w:w="108" w:type="dxa"/>
        <w:bottom w:w="0" w:type="dxa"/>
        <w:right w:w="108" w:type="dxa"/>
      </w:tblCellMar>
    </w:tblPr>
    <w:tcPr>
      <w:shd w:val="clear" w:color="auto" w:fill="DAEEF3"/>
    </w:tcPr>
  </w:style>
  <w:style w:type="table" w:customStyle="1" w:styleId="GridTable4-Accent61">
    <w:name w:val="Grid Table 4 - Accent 61"/>
    <w:uiPriority w:val="99"/>
    <w:tblPr>
      <w:tblInd w:w="0" w:type="dxa"/>
      <w:tblCellMar>
        <w:top w:w="0" w:type="dxa"/>
        <w:left w:w="108" w:type="dxa"/>
        <w:bottom w:w="0" w:type="dxa"/>
        <w:right w:w="108" w:type="dxa"/>
      </w:tblCellMar>
    </w:tblPr>
    <w:tcPr>
      <w:shd w:val="clear" w:color="auto" w:fill="FDE9D9"/>
    </w:tcPr>
  </w:style>
  <w:style w:type="table" w:customStyle="1" w:styleId="GridTable5Dark1">
    <w:name w:val="Grid Table 5 Dark1"/>
    <w:uiPriority w:val="99"/>
    <w:tblPr>
      <w:tblInd w:w="0" w:type="dxa"/>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tblPr>
      <w:tblInd w:w="0" w:type="dxa"/>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tblPr>
      <w:tblInd w:w="0" w:type="dxa"/>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tblPr>
      <w:tblInd w:w="0" w:type="dxa"/>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tblPr>
      <w:tblInd w:w="0" w:type="dxa"/>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tblPr>
      <w:tblInd w:w="0" w:type="dxa"/>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tblPr>
      <w:tblInd w:w="0" w:type="dxa"/>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Pr>
      <w:color w:val="00000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color w:val="365F91"/>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Pr>
      <w:color w:val="943634"/>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Pr>
      <w:color w:val="76923C"/>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Pr>
      <w:color w:val="5F497A"/>
    </w:rPr>
    <w:tblPr>
      <w:tblInd w:w="0" w:type="dxa"/>
      <w:tblCellMar>
        <w:top w:w="0" w:type="dxa"/>
        <w:left w:w="108" w:type="dxa"/>
        <w:bottom w:w="0" w:type="dxa"/>
        <w:right w:w="108" w:type="dxa"/>
      </w:tblCellMar>
    </w:tblPr>
  </w:style>
  <w:style w:type="table" w:customStyle="1" w:styleId="GridTable6Colorful-Accent51">
    <w:name w:val="Grid Table 6 Colorful - Accent 51"/>
    <w:uiPriority w:val="99"/>
    <w:rPr>
      <w:color w:val="31849B"/>
    </w:rPr>
    <w:tblPr>
      <w:tblInd w:w="0" w:type="dxa"/>
      <w:tblCellMar>
        <w:top w:w="0" w:type="dxa"/>
        <w:left w:w="108" w:type="dxa"/>
        <w:bottom w:w="0" w:type="dxa"/>
        <w:right w:w="108" w:type="dxa"/>
      </w:tblCellMar>
    </w:tblPr>
  </w:style>
  <w:style w:type="table" w:customStyle="1" w:styleId="GridTable6Colorful-Accent61">
    <w:name w:val="Grid Table 6 Colorful - Accent 61"/>
    <w:uiPriority w:val="99"/>
    <w:rPr>
      <w:color w:val="E36C0A"/>
    </w:rPr>
    <w:tblPr>
      <w:tblInd w:w="0" w:type="dxa"/>
      <w:tblCellMar>
        <w:top w:w="0" w:type="dxa"/>
        <w:left w:w="108" w:type="dxa"/>
        <w:bottom w:w="0" w:type="dxa"/>
        <w:right w:w="108" w:type="dxa"/>
      </w:tblCellMar>
    </w:tblPr>
  </w:style>
  <w:style w:type="table" w:customStyle="1" w:styleId="GridTable7Colorful1">
    <w:name w:val="Grid Table 7 Colorful1"/>
    <w:uiPriority w:val="99"/>
    <w:rPr>
      <w:color w:val="000000"/>
    </w:rPr>
    <w:tblPr>
      <w:tblInd w:w="0" w:type="dxa"/>
      <w:tblCellMar>
        <w:top w:w="0" w:type="dxa"/>
        <w:left w:w="108" w:type="dxa"/>
        <w:bottom w:w="0" w:type="dxa"/>
        <w:right w:w="108" w:type="dxa"/>
      </w:tblCellMar>
    </w:tblPr>
  </w:style>
  <w:style w:type="table" w:customStyle="1" w:styleId="GridTable7Colorful-Accent11">
    <w:name w:val="Grid Table 7 Colorful - Accent 11"/>
    <w:uiPriority w:val="99"/>
    <w:rPr>
      <w:color w:val="365F91"/>
    </w:rPr>
    <w:tblPr>
      <w:tblInd w:w="0" w:type="dxa"/>
      <w:tblCellMar>
        <w:top w:w="0" w:type="dxa"/>
        <w:left w:w="108" w:type="dxa"/>
        <w:bottom w:w="0" w:type="dxa"/>
        <w:right w:w="108" w:type="dxa"/>
      </w:tblCellMar>
    </w:tblPr>
  </w:style>
  <w:style w:type="table" w:customStyle="1" w:styleId="GridTable7Colorful-Accent21">
    <w:name w:val="Grid Table 7 Colorful - Accent 21"/>
    <w:uiPriority w:val="99"/>
    <w:rPr>
      <w:color w:val="943634"/>
    </w:rPr>
    <w:tblPr>
      <w:tblInd w:w="0" w:type="dxa"/>
      <w:tblCellMar>
        <w:top w:w="0" w:type="dxa"/>
        <w:left w:w="108" w:type="dxa"/>
        <w:bottom w:w="0" w:type="dxa"/>
        <w:right w:w="108" w:type="dxa"/>
      </w:tblCellMar>
    </w:tblPr>
  </w:style>
  <w:style w:type="table" w:customStyle="1" w:styleId="GridTable7Colorful-Accent31">
    <w:name w:val="Grid Table 7 Colorful - Accent 31"/>
    <w:uiPriority w:val="99"/>
    <w:rPr>
      <w:color w:val="76923C"/>
    </w:rPr>
    <w:tblPr>
      <w:tblInd w:w="0" w:type="dxa"/>
      <w:tblCellMar>
        <w:top w:w="0" w:type="dxa"/>
        <w:left w:w="108" w:type="dxa"/>
        <w:bottom w:w="0" w:type="dxa"/>
        <w:right w:w="108" w:type="dxa"/>
      </w:tblCellMar>
    </w:tblPr>
  </w:style>
  <w:style w:type="table" w:customStyle="1" w:styleId="GridTable7Colorful-Accent41">
    <w:name w:val="Grid Table 7 Colorful - Accent 41"/>
    <w:uiPriority w:val="99"/>
    <w:rPr>
      <w:color w:val="5F497A"/>
    </w:rPr>
    <w:tblPr>
      <w:tblInd w:w="0" w:type="dxa"/>
      <w:tblCellMar>
        <w:top w:w="0" w:type="dxa"/>
        <w:left w:w="108" w:type="dxa"/>
        <w:bottom w:w="0" w:type="dxa"/>
        <w:right w:w="108" w:type="dxa"/>
      </w:tblCellMar>
    </w:tblPr>
  </w:style>
  <w:style w:type="table" w:customStyle="1" w:styleId="GridTable7Colorful-Accent51">
    <w:name w:val="Grid Table 7 Colorful - Accent 51"/>
    <w:uiPriority w:val="99"/>
    <w:rPr>
      <w:color w:val="31849B"/>
    </w:rPr>
    <w:tblPr>
      <w:tblInd w:w="0" w:type="dxa"/>
      <w:tblCellMar>
        <w:top w:w="0" w:type="dxa"/>
        <w:left w:w="108" w:type="dxa"/>
        <w:bottom w:w="0" w:type="dxa"/>
        <w:right w:w="108" w:type="dxa"/>
      </w:tblCellMar>
    </w:tblPr>
  </w:style>
  <w:style w:type="table" w:customStyle="1" w:styleId="GridTable7Colorful-Accent61">
    <w:name w:val="Grid Table 7 Colorful - Accent 61"/>
    <w:uiPriority w:val="99"/>
    <w:rPr>
      <w:color w:val="E36C0A"/>
    </w:rPr>
    <w:tblPr>
      <w:tblInd w:w="0" w:type="dxa"/>
      <w:tblCellMar>
        <w:top w:w="0" w:type="dxa"/>
        <w:left w:w="108" w:type="dxa"/>
        <w:bottom w:w="0" w:type="dxa"/>
        <w:right w:w="108" w:type="dxa"/>
      </w:tblCellMar>
    </w:tblPr>
  </w:style>
  <w:style w:type="character" w:customStyle="1" w:styleId="Hashtag1">
    <w:name w:val="Hashtag1"/>
    <w:uiPriority w:val="99"/>
    <w:semiHidden/>
    <w:rPr>
      <w:rFonts w:cs="Times New Roman"/>
      <w:color w:val="2B579A"/>
      <w:shd w:val="clear" w:color="auto" w:fill="E1DFDD"/>
      <w:lang w:val="en-GB"/>
    </w:rPr>
  </w:style>
  <w:style w:type="character" w:styleId="HTMLAcronym">
    <w:name w:val="HTML Acronym"/>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ascii="Times New Roman" w:eastAsia="Times New Roman" w:hAnsi="Times New Roman" w:cs="Times New Roman"/>
      <w:i/>
      <w:iCs/>
      <w:sz w:val="22"/>
      <w:szCs w:val="22"/>
      <w:lang w:val="en-GB"/>
    </w:rPr>
  </w:style>
  <w:style w:type="character" w:styleId="HTMLCite">
    <w:name w:val="HTML Cite"/>
    <w:uiPriority w:val="99"/>
    <w:semiHidden/>
    <w:rPr>
      <w:rFonts w:cs="Times New Roman"/>
      <w:i/>
      <w:iCs/>
      <w:lang w:val="en-GB"/>
    </w:rPr>
  </w:style>
  <w:style w:type="character" w:styleId="HTMLCode">
    <w:name w:val="HTML Code"/>
    <w:uiPriority w:val="99"/>
    <w:semiHidden/>
    <w:rPr>
      <w:rFonts w:ascii="Times New Roman" w:hAnsi="Times New Roman" w:cs="Times New Roman"/>
      <w:sz w:val="20"/>
      <w:szCs w:val="20"/>
      <w:lang w:val="en-GB"/>
    </w:rPr>
  </w:style>
  <w:style w:type="character" w:styleId="HTMLDefinition">
    <w:name w:val="HTML Definition"/>
    <w:uiPriority w:val="99"/>
    <w:semiHidden/>
    <w:rPr>
      <w:rFonts w:cs="Times New Roman"/>
      <w:i/>
      <w:iCs/>
      <w:lang w:val="en-GB"/>
    </w:rPr>
  </w:style>
  <w:style w:type="character" w:styleId="HTMLKeyboard">
    <w:name w:val="HTML Keyboard"/>
    <w:uiPriority w:val="99"/>
    <w:semiHidden/>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link w:val="HTMLPreformatted"/>
    <w:uiPriority w:val="99"/>
    <w:semiHidden/>
    <w:locked/>
    <w:rPr>
      <w:rFonts w:ascii="Times New Roman" w:eastAsia="Times New Roman" w:hAnsi="Times New Roman" w:cs="Times New Roman"/>
      <w:sz w:val="20"/>
      <w:szCs w:val="20"/>
      <w:lang w:val="en-GB"/>
    </w:rPr>
  </w:style>
  <w:style w:type="character" w:styleId="HTMLSample">
    <w:name w:val="HTML Sample"/>
    <w:uiPriority w:val="99"/>
    <w:semiHidden/>
    <w:rPr>
      <w:rFonts w:ascii="Times New Roman" w:hAnsi="Times New Roman" w:cs="Times New Roman"/>
      <w:sz w:val="24"/>
      <w:szCs w:val="24"/>
      <w:lang w:val="en-GB"/>
    </w:rPr>
  </w:style>
  <w:style w:type="character" w:styleId="HTMLTypewriter">
    <w:name w:val="HTML Typewriter"/>
    <w:uiPriority w:val="99"/>
    <w:semiHidden/>
    <w:rPr>
      <w:rFonts w:ascii="Times New Roman" w:hAnsi="Times New Roman" w:cs="Times New Roman"/>
      <w:sz w:val="20"/>
      <w:szCs w:val="20"/>
      <w:lang w:val="en-GB"/>
    </w:rPr>
  </w:style>
  <w:style w:type="character" w:styleId="HTMLVariable">
    <w:name w:val="HTML Variable"/>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character" w:styleId="IntenseEmphasis">
    <w:name w:val="Intense Emphasis"/>
    <w:uiPriority w:val="99"/>
    <w:qFormat/>
    <w:rPr>
      <w:rFonts w:cs="Times New Roman"/>
      <w:i/>
      <w:iCs/>
      <w:color w:val="4F81BD"/>
      <w:lang w:val="en-GB"/>
    </w:rPr>
  </w:style>
  <w:style w:type="paragraph" w:styleId="IntenseQuote">
    <w:name w:val="Intense Quote"/>
    <w:basedOn w:val="Normal"/>
    <w:next w:val="Normal"/>
    <w:link w:val="IntenseQuoteChar"/>
    <w:uiPriority w:val="99"/>
    <w:qFormat/>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Pr>
      <w:rFonts w:ascii="Times New Roman" w:eastAsia="Times New Roman" w:hAnsi="Times New Roman" w:cs="Times New Roman"/>
      <w:i/>
      <w:iCs/>
      <w:color w:val="4F81BD"/>
      <w:sz w:val="22"/>
      <w:szCs w:val="22"/>
      <w:lang w:val="en-GB"/>
    </w:rPr>
  </w:style>
  <w:style w:type="character" w:styleId="IntenseReference">
    <w:name w:val="Intense Reference"/>
    <w:uiPriority w:val="99"/>
    <w:qFormat/>
    <w:rPr>
      <w:rFonts w:cs="Times New Roman"/>
      <w:b/>
      <w:bCs/>
      <w:smallCaps/>
      <w:color w:val="4F81BD"/>
      <w:spacing w:val="5"/>
      <w:lang w:val="en-GB"/>
    </w:rPr>
  </w:style>
  <w:style w:type="table" w:styleId="LightGrid">
    <w:name w:val="Light Grid"/>
    <w:basedOn w:val="TableNormal"/>
    <w:uiPriority w:val="99"/>
    <w:semiHidden/>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styleId="LightGrid-Accent2">
    <w:name w:val="Light Grid Accent 2"/>
    <w:basedOn w:val="TableNormal"/>
    <w:uiPriority w:val="99"/>
    <w:semiHidden/>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styleId="LightGrid-Accent3">
    <w:name w:val="Light Grid Accent 3"/>
    <w:basedOn w:val="TableNormal"/>
    <w:uiPriority w:val="99"/>
    <w:semiHidden/>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LightGrid-Accent4">
    <w:name w:val="Light Grid Accent 4"/>
    <w:basedOn w:val="TableNormal"/>
    <w:uiPriority w:val="99"/>
    <w:semiHidden/>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style>
  <w:style w:type="table" w:styleId="LightGrid-Accent5">
    <w:name w:val="Light Grid Accent 5"/>
    <w:basedOn w:val="TableNormal"/>
    <w:uiPriority w:val="99"/>
    <w:semiHidden/>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style>
  <w:style w:type="table" w:styleId="LightGrid-Accent6">
    <w:name w:val="Light Grid Accent 6"/>
    <w:basedOn w:val="TableNormal"/>
    <w:uiPriority w:val="99"/>
    <w:semiHidden/>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style>
  <w:style w:type="table" w:styleId="LightList">
    <w:name w:val="Light List"/>
    <w:basedOn w:val="TableNormal"/>
    <w:uiPriority w:val="99"/>
    <w:semiHidden/>
    <w:tblPr/>
    <w:tcPr>
      <w:tcBorders>
        <w:top w:val="single" w:sz="8" w:space="0" w:color="000000"/>
        <w:left w:val="single" w:sz="8" w:space="0" w:color="000000"/>
        <w:bottom w:val="single" w:sz="8" w:space="0" w:color="000000"/>
        <w:right w:val="single" w:sz="8" w:space="0" w:color="000000"/>
      </w:tcBorders>
    </w:tcPr>
  </w:style>
  <w:style w:type="table" w:styleId="LightList-Accent1">
    <w:name w:val="Light List Accent 1"/>
    <w:basedOn w:val="TableNormal"/>
    <w:uiPriority w:val="99"/>
    <w:semiHidden/>
    <w:tblPr/>
    <w:tcPr>
      <w:tcBorders>
        <w:top w:val="single" w:sz="8" w:space="0" w:color="4F81BD"/>
        <w:left w:val="single" w:sz="8" w:space="0" w:color="4F81BD"/>
        <w:bottom w:val="single" w:sz="8" w:space="0" w:color="4F81BD"/>
        <w:right w:val="single" w:sz="8" w:space="0" w:color="4F81BD"/>
      </w:tcBorders>
    </w:tcPr>
  </w:style>
  <w:style w:type="table" w:styleId="LightList-Accent2">
    <w:name w:val="Light List Accent 2"/>
    <w:basedOn w:val="TableNormal"/>
    <w:uiPriority w:val="99"/>
    <w:semiHidden/>
    <w:tblPr/>
    <w:tcPr>
      <w:tcBorders>
        <w:top w:val="single" w:sz="8" w:space="0" w:color="C0504D"/>
        <w:left w:val="single" w:sz="8" w:space="0" w:color="C0504D"/>
        <w:bottom w:val="single" w:sz="8" w:space="0" w:color="C0504D"/>
        <w:right w:val="single" w:sz="8" w:space="0" w:color="C0504D"/>
      </w:tcBorders>
    </w:tcPr>
  </w:style>
  <w:style w:type="table" w:styleId="LightList-Accent3">
    <w:name w:val="Light List Accent 3"/>
    <w:basedOn w:val="TableNormal"/>
    <w:uiPriority w:val="99"/>
    <w:semiHidden/>
    <w:tblPr/>
    <w:tcPr>
      <w:tcBorders>
        <w:top w:val="single" w:sz="8" w:space="0" w:color="9BBB59"/>
        <w:left w:val="single" w:sz="8" w:space="0" w:color="9BBB59"/>
        <w:bottom w:val="single" w:sz="8" w:space="0" w:color="9BBB59"/>
        <w:right w:val="single" w:sz="8" w:space="0" w:color="9BBB59"/>
      </w:tcBorders>
    </w:tcPr>
  </w:style>
  <w:style w:type="table" w:styleId="LightList-Accent4">
    <w:name w:val="Light List Accent 4"/>
    <w:basedOn w:val="TableNormal"/>
    <w:uiPriority w:val="99"/>
    <w:semiHidden/>
    <w:tblPr/>
    <w:tcPr>
      <w:tcBorders>
        <w:top w:val="single" w:sz="8" w:space="0" w:color="8064A2"/>
        <w:left w:val="single" w:sz="8" w:space="0" w:color="8064A2"/>
        <w:bottom w:val="single" w:sz="8" w:space="0" w:color="8064A2"/>
        <w:right w:val="single" w:sz="8" w:space="0" w:color="8064A2"/>
      </w:tcBorders>
    </w:tcPr>
  </w:style>
  <w:style w:type="table" w:styleId="LightList-Accent5">
    <w:name w:val="Light List Accent 5"/>
    <w:basedOn w:val="TableNormal"/>
    <w:uiPriority w:val="99"/>
    <w:semiHidden/>
    <w:tblPr/>
    <w:tcPr>
      <w:tcBorders>
        <w:top w:val="single" w:sz="8" w:space="0" w:color="4BACC6"/>
        <w:left w:val="single" w:sz="8" w:space="0" w:color="4BACC6"/>
        <w:bottom w:val="single" w:sz="8" w:space="0" w:color="4BACC6"/>
        <w:right w:val="single" w:sz="8" w:space="0" w:color="4BACC6"/>
      </w:tcBorders>
    </w:tcPr>
  </w:style>
  <w:style w:type="table" w:styleId="LightList-Accent6">
    <w:name w:val="Light List Accent 6"/>
    <w:basedOn w:val="TableNormal"/>
    <w:uiPriority w:val="99"/>
    <w:semiHidden/>
    <w:tblPr/>
    <w:tcPr>
      <w:tcBorders>
        <w:top w:val="single" w:sz="8" w:space="0" w:color="F79646"/>
        <w:left w:val="single" w:sz="8" w:space="0" w:color="F79646"/>
        <w:bottom w:val="single" w:sz="8" w:space="0" w:color="F79646"/>
        <w:right w:val="single" w:sz="8" w:space="0" w:color="F79646"/>
      </w:tcBorders>
    </w:tcPr>
  </w:style>
  <w:style w:type="table" w:styleId="LightShading">
    <w:name w:val="Light Shading"/>
    <w:basedOn w:val="TableNormal"/>
    <w:uiPriority w:val="99"/>
    <w:semiHidden/>
    <w:rPr>
      <w:color w:val="00000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color w:val="365F91"/>
    </w:rPr>
    <w:tblPr>
      <w:tblBorders>
        <w:top w:val="single" w:sz="8" w:space="0" w:color="4F81BD"/>
        <w:bottom w:val="single" w:sz="8" w:space="0" w:color="4F81BD"/>
      </w:tblBorders>
    </w:tblPr>
  </w:style>
  <w:style w:type="table" w:styleId="LightShading-Accent2">
    <w:name w:val="Light Shading Accent 2"/>
    <w:basedOn w:val="TableNormal"/>
    <w:uiPriority w:val="99"/>
    <w:semiHidden/>
    <w:rPr>
      <w:color w:val="943634"/>
    </w:rPr>
    <w:tblPr>
      <w:tblBorders>
        <w:top w:val="single" w:sz="8" w:space="0" w:color="C0504D"/>
        <w:bottom w:val="single" w:sz="8" w:space="0" w:color="C0504D"/>
      </w:tblBorders>
    </w:tblPr>
  </w:style>
  <w:style w:type="table" w:styleId="LightShading-Accent3">
    <w:name w:val="Light Shading Accent 3"/>
    <w:basedOn w:val="TableNormal"/>
    <w:uiPriority w:val="99"/>
    <w:semiHidden/>
    <w:rPr>
      <w:color w:val="76923C"/>
    </w:rPr>
    <w:tblPr>
      <w:tblBorders>
        <w:top w:val="single" w:sz="8" w:space="0" w:color="9BBB59"/>
        <w:bottom w:val="single" w:sz="8" w:space="0" w:color="9BBB59"/>
      </w:tblBorders>
    </w:tblPr>
  </w:style>
  <w:style w:type="table" w:styleId="LightShading-Accent4">
    <w:name w:val="Light Shading Accent 4"/>
    <w:basedOn w:val="TableNormal"/>
    <w:uiPriority w:val="99"/>
    <w:semiHidden/>
    <w:rPr>
      <w:color w:val="5F497A"/>
    </w:rPr>
    <w:tblPr>
      <w:tblBorders>
        <w:top w:val="single" w:sz="8" w:space="0" w:color="8064A2"/>
        <w:bottom w:val="single" w:sz="8" w:space="0" w:color="8064A2"/>
      </w:tblBorders>
    </w:tblPr>
  </w:style>
  <w:style w:type="table" w:styleId="LightShading-Accent5">
    <w:name w:val="Light Shading Accent 5"/>
    <w:basedOn w:val="TableNormal"/>
    <w:uiPriority w:val="99"/>
    <w:semiHidden/>
    <w:rPr>
      <w:color w:val="31849B"/>
    </w:rPr>
    <w:tblPr>
      <w:tblBorders>
        <w:top w:val="single" w:sz="8" w:space="0" w:color="4BACC6"/>
        <w:bottom w:val="single" w:sz="8" w:space="0" w:color="4BACC6"/>
      </w:tblBorders>
    </w:tblPr>
  </w:style>
  <w:style w:type="table" w:styleId="LightShading-Accent6">
    <w:name w:val="Light Shading Accent 6"/>
    <w:basedOn w:val="TableNormal"/>
    <w:uiPriority w:val="99"/>
    <w:semiHidden/>
    <w:rPr>
      <w:color w:val="E36C0A"/>
    </w:rPr>
    <w:tblPr>
      <w:tblBorders>
        <w:top w:val="single" w:sz="8" w:space="0" w:color="F79646"/>
        <w:bottom w:val="single" w:sz="8" w:space="0" w:color="F79646"/>
      </w:tblBorders>
    </w:tblPr>
  </w:style>
  <w:style w:type="character" w:styleId="LineNumber">
    <w:name w:val="line number"/>
    <w:uiPriority w:val="99"/>
    <w:semiHidden/>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tabs>
        <w:tab w:val="num" w:pos="360"/>
      </w:tabs>
      <w:ind w:left="360" w:hanging="360"/>
      <w:contextualSpacing/>
    </w:pPr>
  </w:style>
  <w:style w:type="paragraph" w:styleId="ListBullet2">
    <w:name w:val="List Bullet 2"/>
    <w:basedOn w:val="Normal"/>
    <w:uiPriority w:val="99"/>
    <w:semiHidden/>
    <w:pPr>
      <w:tabs>
        <w:tab w:val="num" w:pos="643"/>
      </w:tabs>
      <w:ind w:left="643" w:hanging="360"/>
      <w:contextualSpacing/>
    </w:pPr>
  </w:style>
  <w:style w:type="paragraph" w:styleId="ListBullet3">
    <w:name w:val="List Bullet 3"/>
    <w:basedOn w:val="Normal"/>
    <w:uiPriority w:val="99"/>
    <w:semiHidden/>
    <w:pPr>
      <w:tabs>
        <w:tab w:val="num" w:pos="926"/>
      </w:tabs>
      <w:ind w:left="926" w:hanging="360"/>
      <w:contextualSpacing/>
    </w:pPr>
  </w:style>
  <w:style w:type="paragraph" w:styleId="ListBullet4">
    <w:name w:val="List Bullet 4"/>
    <w:basedOn w:val="Normal"/>
    <w:uiPriority w:val="99"/>
    <w:semiHidden/>
    <w:pPr>
      <w:tabs>
        <w:tab w:val="num" w:pos="1209"/>
      </w:tabs>
      <w:ind w:left="1209" w:hanging="360"/>
      <w:contextualSpacing/>
    </w:pPr>
  </w:style>
  <w:style w:type="paragraph" w:styleId="ListBullet5">
    <w:name w:val="List Bullet 5"/>
    <w:basedOn w:val="Normal"/>
    <w:uiPriority w:val="99"/>
    <w:semiHidden/>
    <w:pPr>
      <w:tabs>
        <w:tab w:val="num" w:pos="1492"/>
      </w:tabs>
      <w:ind w:left="1492" w:hanging="360"/>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tabs>
        <w:tab w:val="num" w:pos="360"/>
      </w:tabs>
      <w:ind w:left="360" w:hanging="360"/>
      <w:contextualSpacing/>
    </w:pPr>
  </w:style>
  <w:style w:type="paragraph" w:styleId="ListNumber2">
    <w:name w:val="List Number 2"/>
    <w:basedOn w:val="Normal"/>
    <w:uiPriority w:val="99"/>
    <w:semiHidden/>
    <w:pPr>
      <w:tabs>
        <w:tab w:val="num" w:pos="643"/>
      </w:tabs>
      <w:ind w:left="643" w:hanging="360"/>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1209"/>
      </w:tabs>
      <w:ind w:left="1209" w:hanging="360"/>
      <w:contextualSpacing/>
    </w:pPr>
  </w:style>
  <w:style w:type="paragraph" w:styleId="ListNumber5">
    <w:name w:val="List Number 5"/>
    <w:basedOn w:val="Normal"/>
    <w:uiPriority w:val="99"/>
    <w:semiHidden/>
    <w:pPr>
      <w:tabs>
        <w:tab w:val="num" w:pos="1800"/>
      </w:tabs>
      <w:ind w:left="1800" w:hanging="360"/>
      <w:contextualSpacing/>
    </w:pPr>
  </w:style>
  <w:style w:type="table" w:customStyle="1" w:styleId="ListTable1Light1">
    <w:name w:val="List Table 1 Light1"/>
    <w:uiPriority w:val="99"/>
    <w:tblPr>
      <w:tblInd w:w="0" w:type="dxa"/>
      <w:tblCellMar>
        <w:top w:w="0" w:type="dxa"/>
        <w:left w:w="108" w:type="dxa"/>
        <w:bottom w:w="0" w:type="dxa"/>
        <w:right w:w="108" w:type="dxa"/>
      </w:tblCellMar>
    </w:tblPr>
  </w:style>
  <w:style w:type="table" w:customStyle="1" w:styleId="ListTable1Light-Accent11">
    <w:name w:val="List Table 1 Light - Accent 11"/>
    <w:uiPriority w:val="99"/>
    <w:tblPr>
      <w:tblInd w:w="0" w:type="dxa"/>
      <w:tblCellMar>
        <w:top w:w="0" w:type="dxa"/>
        <w:left w:w="108" w:type="dxa"/>
        <w:bottom w:w="0" w:type="dxa"/>
        <w:right w:w="108" w:type="dxa"/>
      </w:tblCellMar>
    </w:tblPr>
  </w:style>
  <w:style w:type="table" w:customStyle="1" w:styleId="ListTable1Light-Accent21">
    <w:name w:val="List Table 1 Light - Accent 21"/>
    <w:uiPriority w:val="99"/>
    <w:tblPr>
      <w:tblInd w:w="0" w:type="dxa"/>
      <w:tblCellMar>
        <w:top w:w="0" w:type="dxa"/>
        <w:left w:w="108" w:type="dxa"/>
        <w:bottom w:w="0" w:type="dxa"/>
        <w:right w:w="108" w:type="dxa"/>
      </w:tblCellMar>
    </w:tblPr>
  </w:style>
  <w:style w:type="table" w:customStyle="1" w:styleId="ListTable1Light-Accent31">
    <w:name w:val="List Table 1 Light - Accent 31"/>
    <w:uiPriority w:val="99"/>
    <w:tblPr>
      <w:tblInd w:w="0" w:type="dxa"/>
      <w:tblCellMar>
        <w:top w:w="0" w:type="dxa"/>
        <w:left w:w="108" w:type="dxa"/>
        <w:bottom w:w="0" w:type="dxa"/>
        <w:right w:w="108" w:type="dxa"/>
      </w:tblCellMar>
    </w:tblPr>
  </w:style>
  <w:style w:type="table" w:customStyle="1" w:styleId="ListTable1Light-Accent41">
    <w:name w:val="List Table 1 Light - Accent 41"/>
    <w:uiPriority w:val="99"/>
    <w:tblPr>
      <w:tblInd w:w="0" w:type="dxa"/>
      <w:tblCellMar>
        <w:top w:w="0" w:type="dxa"/>
        <w:left w:w="108" w:type="dxa"/>
        <w:bottom w:w="0" w:type="dxa"/>
        <w:right w:w="108" w:type="dxa"/>
      </w:tblCellMar>
    </w:tblPr>
  </w:style>
  <w:style w:type="table" w:customStyle="1" w:styleId="ListTable1Light-Accent51">
    <w:name w:val="List Table 1 Light - Accent 51"/>
    <w:uiPriority w:val="99"/>
    <w:tblPr>
      <w:tblInd w:w="0" w:type="dxa"/>
      <w:tblCellMar>
        <w:top w:w="0" w:type="dxa"/>
        <w:left w:w="108" w:type="dxa"/>
        <w:bottom w:w="0" w:type="dxa"/>
        <w:right w:w="108" w:type="dxa"/>
      </w:tblCellMar>
    </w:tblPr>
  </w:style>
  <w:style w:type="table" w:customStyle="1" w:styleId="ListTable1Light-Accent61">
    <w:name w:val="List Table 1 Light - Accent 61"/>
    <w:uiPriority w:val="99"/>
    <w:tblPr>
      <w:tblInd w:w="0" w:type="dxa"/>
      <w:tblCellMar>
        <w:top w:w="0" w:type="dxa"/>
        <w:left w:w="108" w:type="dxa"/>
        <w:bottom w:w="0" w:type="dxa"/>
        <w:right w:w="108" w:type="dxa"/>
      </w:tblCellMar>
    </w:tblPr>
  </w:style>
  <w:style w:type="table" w:customStyle="1" w:styleId="ListTable21">
    <w:name w:val="List Table 21"/>
    <w:uiPriority w:val="99"/>
    <w:tblPr>
      <w:tblInd w:w="0" w:type="dxa"/>
      <w:tblCellMar>
        <w:top w:w="0" w:type="dxa"/>
        <w:left w:w="108" w:type="dxa"/>
        <w:bottom w:w="0" w:type="dxa"/>
        <w:right w:w="108" w:type="dxa"/>
      </w:tblCellMar>
    </w:tblPr>
    <w:tcPr>
      <w:shd w:val="clear" w:color="auto" w:fill="CCCCCC"/>
    </w:tcPr>
  </w:style>
  <w:style w:type="table" w:customStyle="1" w:styleId="ListTable2-Accent11">
    <w:name w:val="List Table 2 - Accent 11"/>
    <w:uiPriority w:val="99"/>
    <w:tblPr>
      <w:tblInd w:w="0" w:type="dxa"/>
      <w:tblCellMar>
        <w:top w:w="0" w:type="dxa"/>
        <w:left w:w="108" w:type="dxa"/>
        <w:bottom w:w="0" w:type="dxa"/>
        <w:right w:w="108" w:type="dxa"/>
      </w:tblCellMar>
    </w:tblPr>
    <w:tcPr>
      <w:shd w:val="clear" w:color="auto" w:fill="DBE5F1"/>
    </w:tcPr>
  </w:style>
  <w:style w:type="table" w:customStyle="1" w:styleId="ListTable2-Accent21">
    <w:name w:val="List Table 2 - Accent 21"/>
    <w:uiPriority w:val="99"/>
    <w:tblPr>
      <w:tblInd w:w="0" w:type="dxa"/>
      <w:tblCellMar>
        <w:top w:w="0" w:type="dxa"/>
        <w:left w:w="108" w:type="dxa"/>
        <w:bottom w:w="0" w:type="dxa"/>
        <w:right w:w="108" w:type="dxa"/>
      </w:tblCellMar>
    </w:tblPr>
    <w:tcPr>
      <w:shd w:val="clear" w:color="auto" w:fill="F2DBDB"/>
    </w:tcPr>
  </w:style>
  <w:style w:type="table" w:customStyle="1" w:styleId="ListTable2-Accent31">
    <w:name w:val="List Table 2 - Accent 31"/>
    <w:uiPriority w:val="99"/>
    <w:tblPr>
      <w:tblInd w:w="0" w:type="dxa"/>
      <w:tblCellMar>
        <w:top w:w="0" w:type="dxa"/>
        <w:left w:w="108" w:type="dxa"/>
        <w:bottom w:w="0" w:type="dxa"/>
        <w:right w:w="108" w:type="dxa"/>
      </w:tblCellMar>
    </w:tblPr>
    <w:tcPr>
      <w:shd w:val="clear" w:color="auto" w:fill="EAF1DD"/>
    </w:tcPr>
  </w:style>
  <w:style w:type="table" w:customStyle="1" w:styleId="ListTable2-Accent41">
    <w:name w:val="List Table 2 - Accent 41"/>
    <w:uiPriority w:val="99"/>
    <w:tblPr>
      <w:tblInd w:w="0" w:type="dxa"/>
      <w:tblCellMar>
        <w:top w:w="0" w:type="dxa"/>
        <w:left w:w="108" w:type="dxa"/>
        <w:bottom w:w="0" w:type="dxa"/>
        <w:right w:w="108" w:type="dxa"/>
      </w:tblCellMar>
    </w:tblPr>
    <w:tcPr>
      <w:shd w:val="clear" w:color="auto" w:fill="E5DFEC"/>
    </w:tcPr>
  </w:style>
  <w:style w:type="table" w:customStyle="1" w:styleId="ListTable2-Accent51">
    <w:name w:val="List Table 2 - Accent 51"/>
    <w:uiPriority w:val="99"/>
    <w:tblPr>
      <w:tblInd w:w="0" w:type="dxa"/>
      <w:tblCellMar>
        <w:top w:w="0" w:type="dxa"/>
        <w:left w:w="108" w:type="dxa"/>
        <w:bottom w:w="0" w:type="dxa"/>
        <w:right w:w="108" w:type="dxa"/>
      </w:tblCellMar>
    </w:tblPr>
    <w:tcPr>
      <w:shd w:val="clear" w:color="auto" w:fill="DAEEF3"/>
    </w:tcPr>
  </w:style>
  <w:style w:type="table" w:customStyle="1" w:styleId="ListTable2-Accent61">
    <w:name w:val="List Table 2 - Accent 61"/>
    <w:uiPriority w:val="99"/>
    <w:tblPr>
      <w:tblInd w:w="0" w:type="dxa"/>
      <w:tblCellMar>
        <w:top w:w="0" w:type="dxa"/>
        <w:left w:w="108" w:type="dxa"/>
        <w:bottom w:w="0" w:type="dxa"/>
        <w:right w:w="108" w:type="dxa"/>
      </w:tblCellMar>
    </w:tblPr>
    <w:tcPr>
      <w:shd w:val="clear" w:color="auto" w:fill="FDE9D9"/>
    </w:tcPr>
  </w:style>
  <w:style w:type="table" w:customStyle="1" w:styleId="ListTable31">
    <w:name w:val="List Table 31"/>
    <w:uiPriority w:val="99"/>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tblPr>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tblPr>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tblPr>
      <w:tblInd w:w="0" w:type="dxa"/>
      <w:tblCellMar>
        <w:top w:w="0" w:type="dxa"/>
        <w:left w:w="108" w:type="dxa"/>
        <w:bottom w:w="0" w:type="dxa"/>
        <w:right w:w="108" w:type="dxa"/>
      </w:tblCellMar>
    </w:tblPr>
  </w:style>
  <w:style w:type="table" w:customStyle="1" w:styleId="ListTable3-Accent51">
    <w:name w:val="List Table 3 - Accent 51"/>
    <w:uiPriority w:val="99"/>
    <w:tblPr>
      <w:tblInd w:w="0" w:type="dxa"/>
      <w:tblCellMar>
        <w:top w:w="0" w:type="dxa"/>
        <w:left w:w="108" w:type="dxa"/>
        <w:bottom w:w="0" w:type="dxa"/>
        <w:right w:w="108" w:type="dxa"/>
      </w:tblCellMar>
    </w:tblPr>
  </w:style>
  <w:style w:type="table" w:customStyle="1" w:styleId="ListTable3-Accent61">
    <w:name w:val="List Table 3 - Accent 61"/>
    <w:uiPriority w:val="99"/>
    <w:tblPr>
      <w:tblInd w:w="0" w:type="dxa"/>
      <w:tblCellMar>
        <w:top w:w="0" w:type="dxa"/>
        <w:left w:w="108" w:type="dxa"/>
        <w:bottom w:w="0" w:type="dxa"/>
        <w:right w:w="108" w:type="dxa"/>
      </w:tblCellMar>
    </w:tblPr>
  </w:style>
  <w:style w:type="table" w:customStyle="1" w:styleId="ListTable41">
    <w:name w:val="List Table 41"/>
    <w:uiPriority w:val="99"/>
    <w:tblPr>
      <w:tblInd w:w="0" w:type="dxa"/>
      <w:tblCellMar>
        <w:top w:w="0" w:type="dxa"/>
        <w:left w:w="108" w:type="dxa"/>
        <w:bottom w:w="0" w:type="dxa"/>
        <w:right w:w="108" w:type="dxa"/>
      </w:tblCellMar>
    </w:tblPr>
  </w:style>
  <w:style w:type="table" w:customStyle="1" w:styleId="ListTable4-Accent11">
    <w:name w:val="List Table 4 - Accent 11"/>
    <w:uiPriority w:val="99"/>
    <w:tblPr>
      <w:tblInd w:w="0" w:type="dxa"/>
      <w:tblCellMar>
        <w:top w:w="0" w:type="dxa"/>
        <w:left w:w="108" w:type="dxa"/>
        <w:bottom w:w="0" w:type="dxa"/>
        <w:right w:w="108" w:type="dxa"/>
      </w:tblCellMar>
    </w:tblPr>
  </w:style>
  <w:style w:type="table" w:customStyle="1" w:styleId="ListTable4-Accent21">
    <w:name w:val="List Table 4 - Accent 21"/>
    <w:uiPriority w:val="99"/>
    <w:tblPr>
      <w:tblInd w:w="0" w:type="dxa"/>
      <w:tblCellMar>
        <w:top w:w="0" w:type="dxa"/>
        <w:left w:w="108" w:type="dxa"/>
        <w:bottom w:w="0" w:type="dxa"/>
        <w:right w:w="108" w:type="dxa"/>
      </w:tblCellMar>
    </w:tblPr>
  </w:style>
  <w:style w:type="table" w:customStyle="1" w:styleId="ListTable4-Accent31">
    <w:name w:val="List Table 4 - Accent 31"/>
    <w:uiPriority w:val="99"/>
    <w:tblPr>
      <w:tblInd w:w="0" w:type="dxa"/>
      <w:tblCellMar>
        <w:top w:w="0" w:type="dxa"/>
        <w:left w:w="108" w:type="dxa"/>
        <w:bottom w:w="0" w:type="dxa"/>
        <w:right w:w="108" w:type="dxa"/>
      </w:tblCellMar>
    </w:tblPr>
  </w:style>
  <w:style w:type="table" w:customStyle="1" w:styleId="ListTable4-Accent41">
    <w:name w:val="List Table 4 - Accent 41"/>
    <w:uiPriority w:val="99"/>
    <w:tblPr>
      <w:tblInd w:w="0" w:type="dxa"/>
      <w:tblCellMar>
        <w:top w:w="0" w:type="dxa"/>
        <w:left w:w="108" w:type="dxa"/>
        <w:bottom w:w="0" w:type="dxa"/>
        <w:right w:w="108" w:type="dxa"/>
      </w:tblCellMar>
    </w:tblPr>
  </w:style>
  <w:style w:type="table" w:customStyle="1" w:styleId="ListTable4-Accent51">
    <w:name w:val="List Table 4 - Accent 51"/>
    <w:uiPriority w:val="99"/>
    <w:tblPr>
      <w:tblInd w:w="0" w:type="dxa"/>
      <w:tblCellMar>
        <w:top w:w="0" w:type="dxa"/>
        <w:left w:w="108" w:type="dxa"/>
        <w:bottom w:w="0" w:type="dxa"/>
        <w:right w:w="108" w:type="dxa"/>
      </w:tblCellMar>
    </w:tblPr>
  </w:style>
  <w:style w:type="table" w:customStyle="1" w:styleId="ListTable4-Accent61">
    <w:name w:val="List Table 4 - Accent 61"/>
    <w:uiPriority w:val="99"/>
    <w:tblPr>
      <w:tblInd w:w="0" w:type="dxa"/>
      <w:tblCellMar>
        <w:top w:w="0" w:type="dxa"/>
        <w:left w:w="108" w:type="dxa"/>
        <w:bottom w:w="0" w:type="dxa"/>
        <w:right w:w="108" w:type="dxa"/>
      </w:tblCellMar>
    </w:tblPr>
  </w:style>
  <w:style w:type="table" w:customStyle="1" w:styleId="ListTable5Dark1">
    <w:name w:val="List Table 5 Dark1"/>
    <w:uiPriority w:val="99"/>
    <w:rPr>
      <w:color w:val="FFFFFF"/>
    </w:rPr>
    <w:tblPr>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000000"/>
    </w:tcPr>
  </w:style>
  <w:style w:type="table" w:customStyle="1" w:styleId="ListTable5Dark-Accent11">
    <w:name w:val="List Table 5 Dark - Accent 11"/>
    <w:uiPriority w:val="99"/>
    <w:rPr>
      <w:color w:val="FFFFFF"/>
    </w:rPr>
    <w:tblPr>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4F81BD"/>
    </w:tcPr>
  </w:style>
  <w:style w:type="table" w:customStyle="1" w:styleId="ListTable5Dark-Accent21">
    <w:name w:val="List Table 5 Dark - Accent 21"/>
    <w:uiPriority w:val="99"/>
    <w:rPr>
      <w:color w:val="FFFFFF"/>
    </w:rPr>
    <w:tblPr>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C0504D"/>
    </w:tcPr>
  </w:style>
  <w:style w:type="table" w:customStyle="1" w:styleId="ListTable5Dark-Accent31">
    <w:name w:val="List Table 5 Dark - Accent 31"/>
    <w:uiPriority w:val="99"/>
    <w:rPr>
      <w:color w:val="FFFFFF"/>
    </w:rPr>
    <w:tblPr>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9BBB59"/>
    </w:tcPr>
  </w:style>
  <w:style w:type="table" w:customStyle="1" w:styleId="ListTable5Dark-Accent41">
    <w:name w:val="List Table 5 Dark - Accent 41"/>
    <w:uiPriority w:val="99"/>
    <w:rPr>
      <w:color w:val="FFFFFF"/>
    </w:rPr>
    <w:tblPr>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8064A2"/>
    </w:tcPr>
  </w:style>
  <w:style w:type="table" w:customStyle="1" w:styleId="ListTable5Dark-Accent51">
    <w:name w:val="List Table 5 Dark - Accent 51"/>
    <w:uiPriority w:val="99"/>
    <w:rPr>
      <w:color w:val="FFFFFF"/>
    </w:rPr>
    <w:tblPr>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4BACC6"/>
    </w:tcPr>
  </w:style>
  <w:style w:type="table" w:customStyle="1" w:styleId="ListTable5Dark-Accent61">
    <w:name w:val="List Table 5 Dark - Accent 61"/>
    <w:uiPriority w:val="99"/>
    <w:rPr>
      <w:color w:val="FFFFFF"/>
    </w:rPr>
    <w:tblPr>
      <w:tblInd w:w="0" w:type="dxa"/>
      <w:tblCellMar>
        <w:top w:w="0" w:type="dxa"/>
        <w:left w:w="108" w:type="dxa"/>
        <w:bottom w:w="0" w:type="dxa"/>
        <w:right w:w="108" w:type="dxa"/>
      </w:tblCellMar>
    </w:tblPr>
    <w:tcPr>
      <w:tcBorders>
        <w:top w:val="single" w:sz="4" w:space="0" w:color="FFFFFF"/>
        <w:left w:val="single" w:sz="4" w:space="0" w:color="FFFFFF"/>
        <w:bottom w:val="single" w:sz="4" w:space="0" w:color="FFFFFF"/>
        <w:right w:val="single" w:sz="4" w:space="0" w:color="FFFFFF"/>
      </w:tcBorders>
      <w:shd w:val="clear" w:color="auto" w:fill="F79646"/>
    </w:tcPr>
  </w:style>
  <w:style w:type="table" w:customStyle="1" w:styleId="ListTable6Colorful1">
    <w:name w:val="List Table 6 Colorful1"/>
    <w:uiPriority w:val="99"/>
    <w:rPr>
      <w:color w:val="000000"/>
    </w:rPr>
    <w:tblPr>
      <w:tblInd w:w="0" w:type="dxa"/>
      <w:tblCellMar>
        <w:top w:w="0" w:type="dxa"/>
        <w:left w:w="108" w:type="dxa"/>
        <w:bottom w:w="0" w:type="dxa"/>
        <w:right w:w="108" w:type="dxa"/>
      </w:tblCellMar>
    </w:tblPr>
  </w:style>
  <w:style w:type="table" w:customStyle="1" w:styleId="ListTable6Colorful-Accent11">
    <w:name w:val="List Table 6 Colorful - Accent 11"/>
    <w:uiPriority w:val="99"/>
    <w:rPr>
      <w:color w:val="365F91"/>
    </w:rPr>
    <w:tblPr>
      <w:tblInd w:w="0" w:type="dxa"/>
      <w:tblCellMar>
        <w:top w:w="0" w:type="dxa"/>
        <w:left w:w="108" w:type="dxa"/>
        <w:bottom w:w="0" w:type="dxa"/>
        <w:right w:w="108" w:type="dxa"/>
      </w:tblCellMar>
    </w:tblPr>
  </w:style>
  <w:style w:type="table" w:customStyle="1" w:styleId="ListTable6Colorful-Accent21">
    <w:name w:val="List Table 6 Colorful - Accent 21"/>
    <w:uiPriority w:val="99"/>
    <w:rPr>
      <w:color w:val="943634"/>
    </w:rPr>
    <w:tblPr>
      <w:tblInd w:w="0" w:type="dxa"/>
      <w:tblCellMar>
        <w:top w:w="0" w:type="dxa"/>
        <w:left w:w="108" w:type="dxa"/>
        <w:bottom w:w="0" w:type="dxa"/>
        <w:right w:w="108" w:type="dxa"/>
      </w:tblCellMar>
    </w:tblPr>
  </w:style>
  <w:style w:type="table" w:customStyle="1" w:styleId="ListTable6Colorful-Accent31">
    <w:name w:val="List Table 6 Colorful - Accent 31"/>
    <w:uiPriority w:val="99"/>
    <w:rPr>
      <w:color w:val="76923C"/>
    </w:rPr>
    <w:tblPr>
      <w:tblInd w:w="0" w:type="dxa"/>
      <w:tblCellMar>
        <w:top w:w="0" w:type="dxa"/>
        <w:left w:w="108" w:type="dxa"/>
        <w:bottom w:w="0" w:type="dxa"/>
        <w:right w:w="108" w:type="dxa"/>
      </w:tblCellMar>
    </w:tblPr>
  </w:style>
  <w:style w:type="table" w:customStyle="1" w:styleId="ListTable6Colorful-Accent41">
    <w:name w:val="List Table 6 Colorful - Accent 41"/>
    <w:uiPriority w:val="99"/>
    <w:rPr>
      <w:color w:val="5F497A"/>
    </w:rPr>
    <w:tblPr>
      <w:tblInd w:w="0" w:type="dxa"/>
      <w:tblCellMar>
        <w:top w:w="0" w:type="dxa"/>
        <w:left w:w="108" w:type="dxa"/>
        <w:bottom w:w="0" w:type="dxa"/>
        <w:right w:w="108" w:type="dxa"/>
      </w:tblCellMar>
    </w:tblPr>
  </w:style>
  <w:style w:type="table" w:customStyle="1" w:styleId="ListTable6Colorful-Accent51">
    <w:name w:val="List Table 6 Colorful - Accent 51"/>
    <w:uiPriority w:val="99"/>
    <w:rPr>
      <w:color w:val="31849B"/>
    </w:rPr>
    <w:tblPr>
      <w:tblInd w:w="0" w:type="dxa"/>
      <w:tblCellMar>
        <w:top w:w="0" w:type="dxa"/>
        <w:left w:w="108" w:type="dxa"/>
        <w:bottom w:w="0" w:type="dxa"/>
        <w:right w:w="108" w:type="dxa"/>
      </w:tblCellMar>
    </w:tblPr>
  </w:style>
  <w:style w:type="table" w:customStyle="1" w:styleId="ListTable6Colorful-Accent61">
    <w:name w:val="List Table 6 Colorful - Accent 61"/>
    <w:uiPriority w:val="99"/>
    <w:rPr>
      <w:color w:val="E36C0A"/>
    </w:rPr>
    <w:tblPr>
      <w:tblInd w:w="0" w:type="dxa"/>
      <w:tblCellMar>
        <w:top w:w="0" w:type="dxa"/>
        <w:left w:w="108" w:type="dxa"/>
        <w:bottom w:w="0" w:type="dxa"/>
        <w:right w:w="108" w:type="dxa"/>
      </w:tblCellMar>
    </w:tblPr>
  </w:style>
  <w:style w:type="table" w:customStyle="1" w:styleId="ListTable7Colorful1">
    <w:name w:val="List Table 7 Colorful1"/>
    <w:uiPriority w:val="99"/>
    <w:rPr>
      <w:color w:val="000000"/>
    </w:rPr>
    <w:tblPr>
      <w:tblInd w:w="0" w:type="dxa"/>
      <w:tblCellMar>
        <w:top w:w="0" w:type="dxa"/>
        <w:left w:w="108" w:type="dxa"/>
        <w:bottom w:w="0" w:type="dxa"/>
        <w:right w:w="108" w:type="dxa"/>
      </w:tblCellMar>
    </w:tblPr>
    <w:tcPr>
      <w:tcBorders>
        <w:left w:val="single" w:sz="4" w:space="0" w:color="000000"/>
      </w:tcBorders>
      <w:shd w:val="clear" w:color="auto" w:fill="CCCCCC"/>
    </w:tcPr>
  </w:style>
  <w:style w:type="table" w:customStyle="1" w:styleId="ListTable7Colorful-Accent11">
    <w:name w:val="List Table 7 Colorful - Accent 11"/>
    <w:uiPriority w:val="99"/>
    <w:rPr>
      <w:color w:val="365F91"/>
    </w:rPr>
    <w:tblPr>
      <w:tblInd w:w="0" w:type="dxa"/>
      <w:tblCellMar>
        <w:top w:w="0" w:type="dxa"/>
        <w:left w:w="108" w:type="dxa"/>
        <w:bottom w:w="0" w:type="dxa"/>
        <w:right w:w="108" w:type="dxa"/>
      </w:tblCellMar>
    </w:tblPr>
    <w:tcPr>
      <w:tcBorders>
        <w:left w:val="single" w:sz="4" w:space="0" w:color="4F81BD"/>
      </w:tcBorders>
      <w:shd w:val="clear" w:color="auto" w:fill="DBE5F1"/>
    </w:tcPr>
  </w:style>
  <w:style w:type="table" w:customStyle="1" w:styleId="ListTable7Colorful-Accent21">
    <w:name w:val="List Table 7 Colorful - Accent 21"/>
    <w:uiPriority w:val="99"/>
    <w:rPr>
      <w:color w:val="943634"/>
    </w:rPr>
    <w:tblPr>
      <w:tblInd w:w="0" w:type="dxa"/>
      <w:tblCellMar>
        <w:top w:w="0" w:type="dxa"/>
        <w:left w:w="108" w:type="dxa"/>
        <w:bottom w:w="0" w:type="dxa"/>
        <w:right w:w="108" w:type="dxa"/>
      </w:tblCellMar>
    </w:tblPr>
    <w:tcPr>
      <w:tcBorders>
        <w:left w:val="single" w:sz="4" w:space="0" w:color="C0504D"/>
      </w:tcBorders>
      <w:shd w:val="clear" w:color="auto" w:fill="F2DBDB"/>
    </w:tcPr>
  </w:style>
  <w:style w:type="table" w:customStyle="1" w:styleId="ListTable7Colorful-Accent31">
    <w:name w:val="List Table 7 Colorful - Accent 31"/>
    <w:uiPriority w:val="99"/>
    <w:rPr>
      <w:color w:val="76923C"/>
    </w:rPr>
    <w:tblPr>
      <w:tblInd w:w="0" w:type="dxa"/>
      <w:tblCellMar>
        <w:top w:w="0" w:type="dxa"/>
        <w:left w:w="108" w:type="dxa"/>
        <w:bottom w:w="0" w:type="dxa"/>
        <w:right w:w="108" w:type="dxa"/>
      </w:tblCellMar>
    </w:tblPr>
    <w:tcPr>
      <w:tcBorders>
        <w:left w:val="single" w:sz="4" w:space="0" w:color="9BBB59"/>
      </w:tcBorders>
      <w:shd w:val="clear" w:color="auto" w:fill="EAF1DD"/>
    </w:tcPr>
  </w:style>
  <w:style w:type="table" w:customStyle="1" w:styleId="ListTable7Colorful-Accent41">
    <w:name w:val="List Table 7 Colorful - Accent 41"/>
    <w:uiPriority w:val="99"/>
    <w:rPr>
      <w:color w:val="5F497A"/>
    </w:rPr>
    <w:tblPr>
      <w:tblInd w:w="0" w:type="dxa"/>
      <w:tblCellMar>
        <w:top w:w="0" w:type="dxa"/>
        <w:left w:w="108" w:type="dxa"/>
        <w:bottom w:w="0" w:type="dxa"/>
        <w:right w:w="108" w:type="dxa"/>
      </w:tblCellMar>
    </w:tblPr>
    <w:tcPr>
      <w:tcBorders>
        <w:left w:val="single" w:sz="4" w:space="0" w:color="8064A2"/>
      </w:tcBorders>
      <w:shd w:val="clear" w:color="auto" w:fill="E5DFEC"/>
    </w:tcPr>
  </w:style>
  <w:style w:type="table" w:customStyle="1" w:styleId="ListTable7Colorful-Accent51">
    <w:name w:val="List Table 7 Colorful - Accent 51"/>
    <w:uiPriority w:val="99"/>
    <w:rPr>
      <w:color w:val="31849B"/>
    </w:rPr>
    <w:tblPr>
      <w:tblInd w:w="0" w:type="dxa"/>
      <w:tblCellMar>
        <w:top w:w="0" w:type="dxa"/>
        <w:left w:w="108" w:type="dxa"/>
        <w:bottom w:w="0" w:type="dxa"/>
        <w:right w:w="108" w:type="dxa"/>
      </w:tblCellMar>
    </w:tblPr>
    <w:tcPr>
      <w:tcBorders>
        <w:left w:val="single" w:sz="4" w:space="0" w:color="4BACC6"/>
      </w:tcBorders>
      <w:shd w:val="clear" w:color="auto" w:fill="DAEEF3"/>
    </w:tcPr>
  </w:style>
  <w:style w:type="table" w:customStyle="1" w:styleId="ListTable7Colorful-Accent61">
    <w:name w:val="List Table 7 Colorful - Accent 61"/>
    <w:uiPriority w:val="99"/>
    <w:rPr>
      <w:color w:val="E36C0A"/>
    </w:rPr>
    <w:tblPr>
      <w:tblInd w:w="0" w:type="dxa"/>
      <w:tblCellMar>
        <w:top w:w="0" w:type="dxa"/>
        <w:left w:w="108" w:type="dxa"/>
        <w:bottom w:w="0" w:type="dxa"/>
        <w:right w:w="108" w:type="dxa"/>
      </w:tblCellMar>
    </w:tblPr>
    <w:tcPr>
      <w:tcBorders>
        <w:left w:val="single" w:sz="4" w:space="0" w:color="F79646"/>
      </w:tcBorders>
      <w:shd w:val="clear" w:color="auto" w:fill="FDE9D9"/>
    </w:tc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lang w:val="en-GB"/>
    </w:rPr>
  </w:style>
  <w:style w:type="character" w:customStyle="1" w:styleId="MacroTextChar">
    <w:name w:val="Macro Text Char"/>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tblPr/>
    <w:tcPr>
      <w:shd w:val="clear" w:color="auto" w:fill="C0C0C0"/>
    </w:tcPr>
  </w:style>
  <w:style w:type="table" w:styleId="MediumGrid1-Accent1">
    <w:name w:val="Medium Grid 1 Accent 1"/>
    <w:basedOn w:val="TableNormal"/>
    <w:uiPriority w:val="99"/>
    <w:semiHidden/>
    <w:tblPr/>
    <w:tcPr>
      <w:shd w:val="clear" w:color="auto" w:fill="D3DFEE"/>
    </w:tcPr>
  </w:style>
  <w:style w:type="table" w:styleId="MediumGrid1-Accent2">
    <w:name w:val="Medium Grid 1 Accent 2"/>
    <w:basedOn w:val="TableNormal"/>
    <w:uiPriority w:val="99"/>
    <w:semiHidden/>
    <w:tblPr/>
    <w:tcPr>
      <w:shd w:val="clear" w:color="auto" w:fill="EFD3D2"/>
    </w:tcPr>
  </w:style>
  <w:style w:type="table" w:styleId="MediumGrid1-Accent3">
    <w:name w:val="Medium Grid 1 Accent 3"/>
    <w:basedOn w:val="TableNormal"/>
    <w:uiPriority w:val="99"/>
    <w:semiHidden/>
    <w:tblPr/>
    <w:tcPr>
      <w:shd w:val="clear" w:color="auto" w:fill="E6EED5"/>
    </w:tcPr>
  </w:style>
  <w:style w:type="table" w:styleId="MediumGrid1-Accent4">
    <w:name w:val="Medium Grid 1 Accent 4"/>
    <w:basedOn w:val="TableNormal"/>
    <w:uiPriority w:val="99"/>
    <w:semiHidden/>
    <w:tblPr/>
    <w:tcPr>
      <w:shd w:val="clear" w:color="auto" w:fill="DFD8E8"/>
    </w:tcPr>
  </w:style>
  <w:style w:type="table" w:styleId="MediumGrid1-Accent5">
    <w:name w:val="Medium Grid 1 Accent 5"/>
    <w:basedOn w:val="TableNormal"/>
    <w:uiPriority w:val="99"/>
    <w:semiHidden/>
    <w:tblPr/>
    <w:tcPr>
      <w:shd w:val="clear" w:color="auto" w:fill="D2EAF1"/>
    </w:tcPr>
  </w:style>
  <w:style w:type="table" w:styleId="MediumGrid1-Accent6">
    <w:name w:val="Medium Grid 1 Accent 6"/>
    <w:basedOn w:val="TableNormal"/>
    <w:uiPriority w:val="99"/>
    <w:semiHidden/>
    <w:tblPr/>
    <w:tcPr>
      <w:shd w:val="clear" w:color="auto" w:fill="FDE4D0"/>
    </w:tcPr>
  </w:style>
  <w:style w:type="table" w:styleId="MediumGrid2">
    <w:name w:val="Medium Grid 2"/>
    <w:basedOn w:val="TableNormal"/>
    <w:uiPriority w:val="99"/>
    <w:semiHidden/>
    <w:rPr>
      <w:color w:val="000000"/>
    </w:rPr>
    <w:tblPr/>
    <w:tcPr>
      <w:shd w:val="clear" w:color="auto" w:fill="C0C0C0"/>
    </w:tcPr>
  </w:style>
  <w:style w:type="table" w:styleId="MediumGrid2-Accent1">
    <w:name w:val="Medium Grid 2 Accent 1"/>
    <w:basedOn w:val="TableNormal"/>
    <w:uiPriority w:val="99"/>
    <w:semiHidden/>
    <w:rPr>
      <w:color w:val="000000"/>
    </w:rPr>
    <w:tblPr/>
    <w:tcPr>
      <w:shd w:val="clear" w:color="auto" w:fill="D3DFEE"/>
    </w:tcPr>
  </w:style>
  <w:style w:type="table" w:styleId="MediumGrid2-Accent2">
    <w:name w:val="Medium Grid 2 Accent 2"/>
    <w:basedOn w:val="TableNormal"/>
    <w:uiPriority w:val="99"/>
    <w:semiHidden/>
    <w:rPr>
      <w:color w:val="000000"/>
    </w:rPr>
    <w:tblPr/>
    <w:tcPr>
      <w:shd w:val="clear" w:color="auto" w:fill="EFD3D2"/>
    </w:tcPr>
  </w:style>
  <w:style w:type="table" w:styleId="MediumGrid2-Accent3">
    <w:name w:val="Medium Grid 2 Accent 3"/>
    <w:basedOn w:val="TableNormal"/>
    <w:uiPriority w:val="99"/>
    <w:semiHidden/>
    <w:rPr>
      <w:color w:val="000000"/>
    </w:rPr>
    <w:tblPr/>
    <w:tcPr>
      <w:shd w:val="clear" w:color="auto" w:fill="E6EED5"/>
    </w:tcPr>
  </w:style>
  <w:style w:type="table" w:styleId="MediumGrid2-Accent4">
    <w:name w:val="Medium Grid 2 Accent 4"/>
    <w:basedOn w:val="TableNormal"/>
    <w:uiPriority w:val="99"/>
    <w:semiHidden/>
    <w:rPr>
      <w:color w:val="000000"/>
    </w:rPr>
    <w:tblPr/>
    <w:tcPr>
      <w:shd w:val="clear" w:color="auto" w:fill="DFD8E8"/>
    </w:tcPr>
  </w:style>
  <w:style w:type="table" w:styleId="MediumGrid2-Accent5">
    <w:name w:val="Medium Grid 2 Accent 5"/>
    <w:basedOn w:val="TableNormal"/>
    <w:uiPriority w:val="99"/>
    <w:semiHidden/>
    <w:rPr>
      <w:color w:val="000000"/>
    </w:rPr>
    <w:tblPr/>
    <w:tcPr>
      <w:shd w:val="clear" w:color="auto" w:fill="D2EAF1"/>
    </w:tcPr>
  </w:style>
  <w:style w:type="table" w:styleId="MediumGrid2-Accent6">
    <w:name w:val="Medium Grid 2 Accent 6"/>
    <w:basedOn w:val="TableNormal"/>
    <w:uiPriority w:val="99"/>
    <w:semiHidden/>
    <w:rPr>
      <w:color w:val="000000"/>
    </w:rPr>
    <w:tblPr/>
    <w:tcPr>
      <w:shd w:val="clear" w:color="auto" w:fill="FDE4D0"/>
    </w:tcPr>
  </w:style>
  <w:style w:type="table" w:styleId="MediumGrid3">
    <w:name w:val="Medium Grid 3"/>
    <w:basedOn w:val="TableNormal"/>
    <w:uiPriority w:val="99"/>
    <w:semiHidden/>
    <w:tblPr/>
    <w:tcPr>
      <w:tcBorders>
        <w:top w:val="single" w:sz="8" w:space="0" w:color="FFFFFF"/>
        <w:left w:val="single" w:sz="8" w:space="0" w:color="FFFFFF"/>
        <w:bottom w:val="single" w:sz="8" w:space="0" w:color="FFFFFF"/>
        <w:right w:val="single" w:sz="8" w:space="0" w:color="FFFFFF"/>
      </w:tcBorders>
      <w:shd w:val="clear" w:color="auto" w:fill="C0C0C0"/>
    </w:tcPr>
  </w:style>
  <w:style w:type="table" w:styleId="MediumGrid3-Accent1">
    <w:name w:val="Medium Grid 3 Accent 1"/>
    <w:basedOn w:val="TableNormal"/>
    <w:uiPriority w:val="99"/>
    <w:semiHidden/>
    <w:tblPr/>
    <w:tcPr>
      <w:tcBorders>
        <w:top w:val="single" w:sz="8" w:space="0" w:color="FFFFFF"/>
        <w:left w:val="single" w:sz="8" w:space="0" w:color="FFFFFF"/>
        <w:bottom w:val="single" w:sz="8" w:space="0" w:color="FFFFFF"/>
        <w:right w:val="single" w:sz="8" w:space="0" w:color="FFFFFF"/>
      </w:tcBorders>
      <w:shd w:val="clear" w:color="auto" w:fill="D3DFEE"/>
    </w:tcPr>
  </w:style>
  <w:style w:type="table" w:styleId="MediumGrid3-Accent2">
    <w:name w:val="Medium Grid 3 Accent 2"/>
    <w:basedOn w:val="TableNormal"/>
    <w:uiPriority w:val="99"/>
    <w:semiHidden/>
    <w:tblPr/>
    <w:tcPr>
      <w:tcBorders>
        <w:top w:val="single" w:sz="8" w:space="0" w:color="FFFFFF"/>
        <w:left w:val="single" w:sz="8" w:space="0" w:color="FFFFFF"/>
        <w:bottom w:val="single" w:sz="8" w:space="0" w:color="FFFFFF"/>
        <w:right w:val="single" w:sz="8" w:space="0" w:color="FFFFFF"/>
      </w:tcBorders>
      <w:shd w:val="clear" w:color="auto" w:fill="EFD3D2"/>
    </w:tcPr>
  </w:style>
  <w:style w:type="table" w:styleId="MediumGrid3-Accent3">
    <w:name w:val="Medium Grid 3 Accent 3"/>
    <w:basedOn w:val="TableNormal"/>
    <w:uiPriority w:val="99"/>
    <w:semiHidden/>
    <w:tblPr/>
    <w:tcPr>
      <w:tcBorders>
        <w:top w:val="single" w:sz="8" w:space="0" w:color="FFFFFF"/>
        <w:left w:val="single" w:sz="8" w:space="0" w:color="FFFFFF"/>
        <w:bottom w:val="single" w:sz="8" w:space="0" w:color="FFFFFF"/>
        <w:right w:val="single" w:sz="8" w:space="0" w:color="FFFFFF"/>
      </w:tcBorders>
      <w:shd w:val="clear" w:color="auto" w:fill="E6EED5"/>
    </w:tcPr>
  </w:style>
  <w:style w:type="table" w:styleId="MediumGrid3-Accent4">
    <w:name w:val="Medium Grid 3 Accent 4"/>
    <w:basedOn w:val="TableNormal"/>
    <w:uiPriority w:val="99"/>
    <w:semiHidden/>
    <w:tblPr/>
    <w:tcPr>
      <w:tcBorders>
        <w:top w:val="single" w:sz="8" w:space="0" w:color="FFFFFF"/>
        <w:left w:val="single" w:sz="8" w:space="0" w:color="FFFFFF"/>
        <w:bottom w:val="single" w:sz="8" w:space="0" w:color="FFFFFF"/>
        <w:right w:val="single" w:sz="8" w:space="0" w:color="FFFFFF"/>
      </w:tcBorders>
      <w:shd w:val="clear" w:color="auto" w:fill="DFD8E8"/>
    </w:tcPr>
  </w:style>
  <w:style w:type="table" w:styleId="MediumGrid3-Accent5">
    <w:name w:val="Medium Grid 3 Accent 5"/>
    <w:basedOn w:val="TableNormal"/>
    <w:uiPriority w:val="99"/>
    <w:semiHidden/>
    <w:tblPr/>
    <w:tcPr>
      <w:tcBorders>
        <w:top w:val="single" w:sz="8" w:space="0" w:color="FFFFFF"/>
        <w:left w:val="single" w:sz="8" w:space="0" w:color="FFFFFF"/>
        <w:bottom w:val="single" w:sz="8" w:space="0" w:color="FFFFFF"/>
        <w:right w:val="single" w:sz="8" w:space="0" w:color="FFFFFF"/>
      </w:tcBorders>
      <w:shd w:val="clear" w:color="auto" w:fill="D2EAF1"/>
    </w:tcPr>
  </w:style>
  <w:style w:type="table" w:styleId="MediumGrid3-Accent6">
    <w:name w:val="Medium Grid 3 Accent 6"/>
    <w:basedOn w:val="TableNormal"/>
    <w:uiPriority w:val="99"/>
    <w:semiHidden/>
    <w:tblPr/>
    <w:tcPr>
      <w:tcBorders>
        <w:top w:val="single" w:sz="8" w:space="0" w:color="FFFFFF"/>
        <w:left w:val="single" w:sz="8" w:space="0" w:color="FFFFFF"/>
        <w:bottom w:val="single" w:sz="8" w:space="0" w:color="FFFFFF"/>
        <w:right w:val="single" w:sz="8" w:space="0" w:color="FFFFFF"/>
      </w:tcBorders>
      <w:shd w:val="clear" w:color="auto" w:fill="FDE4D0"/>
    </w:tcPr>
  </w:style>
  <w:style w:type="table" w:styleId="MediumList1">
    <w:name w:val="Medium List 1"/>
    <w:basedOn w:val="TableNormal"/>
    <w:uiPriority w:val="99"/>
    <w:semiHidden/>
    <w:rPr>
      <w:color w:val="000000"/>
    </w:rPr>
    <w:tblPr/>
    <w:tcPr>
      <w:shd w:val="clear" w:color="auto" w:fill="C0C0C0"/>
    </w:tcPr>
  </w:style>
  <w:style w:type="table" w:styleId="MediumList1-Accent1">
    <w:name w:val="Medium List 1 Accent 1"/>
    <w:basedOn w:val="TableNormal"/>
    <w:uiPriority w:val="99"/>
    <w:semiHidden/>
    <w:rPr>
      <w:color w:val="000000"/>
    </w:rPr>
    <w:tblPr/>
    <w:tcPr>
      <w:shd w:val="clear" w:color="auto" w:fill="D3DFEE"/>
    </w:tcPr>
  </w:style>
  <w:style w:type="table" w:styleId="MediumList1-Accent2">
    <w:name w:val="Medium List 1 Accent 2"/>
    <w:basedOn w:val="TableNormal"/>
    <w:uiPriority w:val="99"/>
    <w:semiHidden/>
    <w:rPr>
      <w:color w:val="000000"/>
    </w:rPr>
    <w:tblPr/>
    <w:tcPr>
      <w:shd w:val="clear" w:color="auto" w:fill="EFD3D2"/>
    </w:tcPr>
  </w:style>
  <w:style w:type="table" w:styleId="MediumList1-Accent3">
    <w:name w:val="Medium List 1 Accent 3"/>
    <w:basedOn w:val="TableNormal"/>
    <w:uiPriority w:val="99"/>
    <w:semiHidden/>
    <w:rPr>
      <w:color w:val="000000"/>
    </w:rPr>
    <w:tblPr/>
    <w:tcPr>
      <w:shd w:val="clear" w:color="auto" w:fill="E6EED5"/>
    </w:tcPr>
  </w:style>
  <w:style w:type="table" w:styleId="MediumList1-Accent4">
    <w:name w:val="Medium List 1 Accent 4"/>
    <w:basedOn w:val="TableNormal"/>
    <w:uiPriority w:val="99"/>
    <w:semiHidden/>
    <w:rPr>
      <w:color w:val="000000"/>
    </w:rPr>
    <w:tblPr/>
    <w:tcPr>
      <w:shd w:val="clear" w:color="auto" w:fill="DFD8E8"/>
    </w:tcPr>
  </w:style>
  <w:style w:type="table" w:styleId="MediumList1-Accent5">
    <w:name w:val="Medium List 1 Accent 5"/>
    <w:basedOn w:val="TableNormal"/>
    <w:uiPriority w:val="99"/>
    <w:semiHidden/>
    <w:rPr>
      <w:color w:val="000000"/>
    </w:rPr>
    <w:tblPr/>
    <w:tcPr>
      <w:shd w:val="clear" w:color="auto" w:fill="D2EAF1"/>
    </w:tcPr>
  </w:style>
  <w:style w:type="table" w:styleId="MediumList1-Accent6">
    <w:name w:val="Medium List 1 Accent 6"/>
    <w:basedOn w:val="TableNormal"/>
    <w:uiPriority w:val="99"/>
    <w:semiHidden/>
    <w:rPr>
      <w:color w:val="000000"/>
    </w:rPr>
    <w:tblPr/>
    <w:tcPr>
      <w:shd w:val="clear" w:color="auto" w:fill="FDE4D0"/>
    </w:tcPr>
  </w:style>
  <w:style w:type="table" w:styleId="MediumList2">
    <w:name w:val="Medium List 2"/>
    <w:basedOn w:val="TableNormal"/>
    <w:uiPriority w:val="99"/>
    <w:semiHidden/>
    <w:rPr>
      <w:color w:val="000000"/>
    </w:rPr>
    <w:tblPr/>
  </w:style>
  <w:style w:type="table" w:styleId="MediumList2-Accent1">
    <w:name w:val="Medium List 2 Accent 1"/>
    <w:basedOn w:val="TableNormal"/>
    <w:uiPriority w:val="99"/>
    <w:semiHidden/>
    <w:rPr>
      <w:color w:val="000000"/>
    </w:rPr>
    <w:tblPr/>
  </w:style>
  <w:style w:type="table" w:styleId="MediumList2-Accent2">
    <w:name w:val="Medium List 2 Accent 2"/>
    <w:basedOn w:val="TableNormal"/>
    <w:uiPriority w:val="99"/>
    <w:semiHidden/>
    <w:rPr>
      <w:color w:val="000000"/>
    </w:rPr>
    <w:tblPr/>
    <w:tcPr>
      <w:shd w:val="clear" w:color="auto" w:fill="EFD3D2"/>
    </w:tcPr>
  </w:style>
  <w:style w:type="table" w:styleId="MediumList2-Accent3">
    <w:name w:val="Medium List 2 Accent 3"/>
    <w:basedOn w:val="TableNormal"/>
    <w:uiPriority w:val="99"/>
    <w:semiHidden/>
    <w:rPr>
      <w:color w:val="000000"/>
    </w:rPr>
    <w:tblPr/>
  </w:style>
  <w:style w:type="table" w:styleId="MediumList2-Accent4">
    <w:name w:val="Medium List 2 Accent 4"/>
    <w:basedOn w:val="TableNormal"/>
    <w:uiPriority w:val="99"/>
    <w:semiHidden/>
    <w:rPr>
      <w:color w:val="000000"/>
    </w:rPr>
    <w:tblPr/>
  </w:style>
  <w:style w:type="table" w:styleId="MediumList2-Accent5">
    <w:name w:val="Medium List 2 Accent 5"/>
    <w:basedOn w:val="TableNormal"/>
    <w:uiPriority w:val="99"/>
    <w:semiHidden/>
    <w:rPr>
      <w:color w:val="000000"/>
    </w:rPr>
    <w:tblPr/>
  </w:style>
  <w:style w:type="table" w:styleId="MediumList2-Accent6">
    <w:name w:val="Medium List 2 Accent 6"/>
    <w:basedOn w:val="TableNormal"/>
    <w:uiPriority w:val="99"/>
    <w:semiHidden/>
    <w:rPr>
      <w:color w:val="000000"/>
    </w:rPr>
    <w:tblPr/>
  </w:style>
  <w:style w:type="table" w:styleId="MediumShading1">
    <w:name w:val="Medium Shading 1"/>
    <w:basedOn w:val="TableNormal"/>
    <w:uiPriority w:val="99"/>
    <w:semiHidden/>
    <w:tblPr/>
    <w:tcPr>
      <w:shd w:val="clear" w:color="auto" w:fill="C0C0C0"/>
    </w:tcPr>
  </w:style>
  <w:style w:type="table" w:styleId="MediumShading1-Accent1">
    <w:name w:val="Medium Shading 1 Accent 1"/>
    <w:basedOn w:val="TableNormal"/>
    <w:uiPriority w:val="99"/>
    <w:semiHidden/>
    <w:tblPr/>
    <w:tcPr>
      <w:shd w:val="clear" w:color="auto" w:fill="D3DFEE"/>
    </w:tcPr>
  </w:style>
  <w:style w:type="table" w:styleId="MediumShading1-Accent2">
    <w:name w:val="Medium Shading 1 Accent 2"/>
    <w:basedOn w:val="TableNormal"/>
    <w:uiPriority w:val="99"/>
    <w:semiHidden/>
    <w:tblPr/>
    <w:tcPr>
      <w:shd w:val="clear" w:color="auto" w:fill="EFD3D2"/>
    </w:tcPr>
  </w:style>
  <w:style w:type="table" w:styleId="MediumShading1-Accent3">
    <w:name w:val="Medium Shading 1 Accent 3"/>
    <w:basedOn w:val="TableNormal"/>
    <w:uiPriority w:val="99"/>
    <w:semiHidden/>
    <w:tblPr/>
    <w:tcPr>
      <w:shd w:val="clear" w:color="auto" w:fill="E6EED5"/>
    </w:tcPr>
  </w:style>
  <w:style w:type="table" w:styleId="MediumShading1-Accent4">
    <w:name w:val="Medium Shading 1 Accent 4"/>
    <w:basedOn w:val="TableNormal"/>
    <w:uiPriority w:val="99"/>
    <w:semiHidden/>
    <w:tblPr/>
    <w:tcPr>
      <w:shd w:val="clear" w:color="auto" w:fill="DFD8E8"/>
    </w:tcPr>
  </w:style>
  <w:style w:type="table" w:styleId="MediumShading1-Accent5">
    <w:name w:val="Medium Shading 1 Accent 5"/>
    <w:basedOn w:val="TableNormal"/>
    <w:uiPriority w:val="99"/>
    <w:semiHidden/>
    <w:tblPr/>
    <w:tcPr>
      <w:shd w:val="clear" w:color="auto" w:fill="D2EAF1"/>
    </w:tcPr>
  </w:style>
  <w:style w:type="table" w:styleId="MediumShading1-Accent6">
    <w:name w:val="Medium Shading 1 Accent 6"/>
    <w:basedOn w:val="TableNormal"/>
    <w:uiPriority w:val="99"/>
    <w:semiHidden/>
    <w:tblPr/>
    <w:tcPr>
      <w:shd w:val="clear" w:color="auto" w:fill="FDE4D0"/>
    </w:tcPr>
  </w:style>
  <w:style w:type="table" w:styleId="MediumShading2">
    <w:name w:val="Medium Shading 2"/>
    <w:basedOn w:val="TableNormal"/>
    <w:uiPriority w:val="99"/>
    <w:semiHidden/>
    <w:tblPr/>
  </w:style>
  <w:style w:type="table" w:styleId="MediumShading2-Accent1">
    <w:name w:val="Medium Shading 2 Accent 1"/>
    <w:basedOn w:val="TableNormal"/>
    <w:uiPriority w:val="99"/>
    <w:semiHidden/>
    <w:tblPr/>
  </w:style>
  <w:style w:type="table" w:styleId="MediumShading2-Accent2">
    <w:name w:val="Medium Shading 2 Accent 2"/>
    <w:basedOn w:val="TableNormal"/>
    <w:uiPriority w:val="99"/>
    <w:semiHidden/>
    <w:tblPr/>
  </w:style>
  <w:style w:type="table" w:styleId="MediumShading2-Accent3">
    <w:name w:val="Medium Shading 2 Accent 3"/>
    <w:basedOn w:val="TableNormal"/>
    <w:uiPriority w:val="99"/>
    <w:semiHidden/>
    <w:tblPr/>
  </w:style>
  <w:style w:type="table" w:styleId="MediumShading2-Accent4">
    <w:name w:val="Medium Shading 2 Accent 4"/>
    <w:basedOn w:val="TableNormal"/>
    <w:uiPriority w:val="99"/>
    <w:semiHidden/>
    <w:tblPr/>
  </w:style>
  <w:style w:type="table" w:styleId="MediumShading2-Accent5">
    <w:name w:val="Medium Shading 2 Accent 5"/>
    <w:basedOn w:val="TableNormal"/>
    <w:uiPriority w:val="99"/>
    <w:semiHidden/>
    <w:tblPr/>
  </w:style>
  <w:style w:type="table" w:styleId="MediumShading2-Accent6">
    <w:name w:val="Medium Shading 2 Accent 6"/>
    <w:basedOn w:val="TableNormal"/>
    <w:uiPriority w:val="99"/>
    <w:semiHidden/>
    <w:tblPr/>
  </w:style>
  <w:style w:type="character" w:customStyle="1" w:styleId="Mention1">
    <w:name w:val="Mention1"/>
    <w:uiPriority w:val="99"/>
    <w:semiHidden/>
    <w:rPr>
      <w:rFonts w:cs="Times New Roman"/>
      <w:color w:val="2B579A"/>
      <w:shd w:val="clear" w:color="auto" w:fill="E1DFDD"/>
      <w:lang w:val="en-GB"/>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link w:val="MessageHeader"/>
    <w:uiPriority w:val="99"/>
    <w:semiHidden/>
    <w:locked/>
    <w:rPr>
      <w:rFonts w:ascii="Times New Roman" w:eastAsia="Times New Roman" w:hAnsi="Times New Roman" w:cs="Times New Roman"/>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sz w:val="22"/>
      <w:szCs w:val="22"/>
      <w:lang w:val="en-GB"/>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ascii="Times New Roman" w:eastAsia="Times New Roman" w:hAnsi="Times New Roman" w:cs="Times New Roman"/>
      <w:sz w:val="22"/>
      <w:szCs w:val="22"/>
      <w:lang w:val="en-GB"/>
    </w:rPr>
  </w:style>
  <w:style w:type="table" w:customStyle="1" w:styleId="PlainTable11">
    <w:name w:val="Plain Table 11"/>
    <w:uiPriority w:val="99"/>
    <w:tblPr>
      <w:tblInd w:w="0" w:type="dxa"/>
      <w:tblCellMar>
        <w:top w:w="0" w:type="dxa"/>
        <w:left w:w="108" w:type="dxa"/>
        <w:bottom w:w="0" w:type="dxa"/>
        <w:right w:w="108" w:type="dxa"/>
      </w:tblCellMar>
    </w:tblPr>
    <w:tcPr>
      <w:shd w:val="clear" w:color="auto" w:fill="F2F2F2"/>
    </w:tcPr>
  </w:style>
  <w:style w:type="table" w:customStyle="1" w:styleId="PlainTable21">
    <w:name w:val="Plain Table 21"/>
    <w:uiPriority w:val="99"/>
    <w:tblPr>
      <w:tblInd w:w="0" w:type="dxa"/>
      <w:tblCellMar>
        <w:top w:w="0" w:type="dxa"/>
        <w:left w:w="108" w:type="dxa"/>
        <w:bottom w:w="0" w:type="dxa"/>
        <w:right w:w="108" w:type="dxa"/>
      </w:tblCellMar>
    </w:tblPr>
  </w:style>
  <w:style w:type="table" w:customStyle="1" w:styleId="PlainTable31">
    <w:name w:val="Plain Table 31"/>
    <w:uiPriority w:val="99"/>
    <w:tblPr>
      <w:tblInd w:w="0" w:type="dxa"/>
      <w:tblCellMar>
        <w:top w:w="0" w:type="dxa"/>
        <w:left w:w="108" w:type="dxa"/>
        <w:bottom w:w="0" w:type="dxa"/>
        <w:right w:w="108" w:type="dxa"/>
      </w:tblCellMar>
    </w:tblPr>
    <w:tcPr>
      <w:tcBorders>
        <w:right w:val="single" w:sz="4" w:space="0" w:color="7F7F7F"/>
      </w:tcBorders>
    </w:tcPr>
  </w:style>
  <w:style w:type="table" w:customStyle="1" w:styleId="PlainTable41">
    <w:name w:val="Plain Table 41"/>
    <w:uiPriority w:val="99"/>
    <w:tblPr>
      <w:tblInd w:w="0" w:type="dxa"/>
      <w:tblCellMar>
        <w:top w:w="0" w:type="dxa"/>
        <w:left w:w="108" w:type="dxa"/>
        <w:bottom w:w="0" w:type="dxa"/>
        <w:right w:w="108" w:type="dxa"/>
      </w:tblCellMar>
    </w:tblPr>
  </w:style>
  <w:style w:type="table" w:customStyle="1" w:styleId="PlainTable51">
    <w:name w:val="Plain Table 51"/>
    <w:uiPriority w:val="99"/>
    <w:tblPr>
      <w:tblInd w:w="0" w:type="dxa"/>
      <w:tblCellMar>
        <w:top w:w="0" w:type="dxa"/>
        <w:left w:w="108" w:type="dxa"/>
        <w:bottom w:w="0" w:type="dxa"/>
        <w:right w:w="108" w:type="dxa"/>
      </w:tblCellMar>
    </w:tblPr>
    <w:tcPr>
      <w:tcBorders>
        <w:right w:val="single" w:sz="4" w:space="0" w:color="7F7F7F"/>
      </w:tcBorders>
      <w:shd w:val="clear" w:color="auto" w:fill="FFFFFF"/>
    </w:tcPr>
  </w:style>
  <w:style w:type="paragraph" w:styleId="PlainText">
    <w:name w:val="Plain Text"/>
    <w:basedOn w:val="Normal"/>
    <w:link w:val="PlainTextChar"/>
    <w:uiPriority w:val="99"/>
    <w:semiHidden/>
    <w:rPr>
      <w:sz w:val="21"/>
      <w:szCs w:val="21"/>
    </w:rPr>
  </w:style>
  <w:style w:type="character" w:customStyle="1" w:styleId="PlainTextChar">
    <w:name w:val="Plain Text Char"/>
    <w:link w:val="PlainText"/>
    <w:uiPriority w:val="99"/>
    <w:semiHidden/>
    <w:locked/>
    <w:rPr>
      <w:rFonts w:ascii="Times New Roman" w:eastAsia="Times New Roman" w:hAnsi="Times New Roman" w:cs="Times New Roman"/>
      <w:sz w:val="21"/>
      <w:szCs w:val="21"/>
      <w:lang w:val="en-GB"/>
    </w:r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link w:val="Quote"/>
    <w:uiPriority w:val="99"/>
    <w:locked/>
    <w:rPr>
      <w:rFonts w:ascii="Times New Roman" w:eastAsia="Times New Roman" w:hAnsi="Times New Roman" w:cs="Times New Roman"/>
      <w:i/>
      <w:iCs/>
      <w:color w:val="404040"/>
      <w:sz w:val="22"/>
      <w:szCs w:val="22"/>
      <w:lang w:val="en-GB"/>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ascii="Times New Roman" w:eastAsia="Times New Roman" w:hAnsi="Times New Roman" w:cs="Times New Roman"/>
      <w:sz w:val="22"/>
      <w:szCs w:val="22"/>
      <w:lang w:val="en-GB"/>
    </w:rPr>
  </w:style>
  <w:style w:type="paragraph" w:styleId="Signature">
    <w:name w:val="Signature"/>
    <w:basedOn w:val="Normal"/>
    <w:link w:val="SignatureChar"/>
    <w:uiPriority w:val="99"/>
    <w:semiHidden/>
    <w:pPr>
      <w:ind w:left="4252"/>
    </w:pPr>
  </w:style>
  <w:style w:type="character" w:customStyle="1" w:styleId="SignatureChar">
    <w:name w:val="Signature Char"/>
    <w:link w:val="Signature"/>
    <w:uiPriority w:val="99"/>
    <w:semiHidden/>
    <w:locked/>
    <w:rPr>
      <w:rFonts w:ascii="Times New Roman" w:eastAsia="Times New Roman" w:hAnsi="Times New Roman" w:cs="Times New Roman"/>
      <w:sz w:val="22"/>
      <w:szCs w:val="22"/>
      <w:lang w:val="en-GB"/>
    </w:rPr>
  </w:style>
  <w:style w:type="character" w:customStyle="1" w:styleId="SmartHyperlink1">
    <w:name w:val="Smart Hyperlink1"/>
    <w:uiPriority w:val="99"/>
    <w:semiHidden/>
    <w:rPr>
      <w:rFonts w:cs="Times New Roman"/>
      <w:u w:val="dotted"/>
      <w:lang w:val="en-GB"/>
    </w:rPr>
  </w:style>
  <w:style w:type="character" w:customStyle="1" w:styleId="SmartLink1">
    <w:name w:val="SmartLink1"/>
    <w:uiPriority w:val="99"/>
    <w:semiHidden/>
    <w:rPr>
      <w:rFonts w:cs="Times New Roman"/>
      <w:color w:val="0000FF"/>
      <w:u w:val="single"/>
      <w:shd w:val="clear" w:color="auto" w:fill="F3F2F1"/>
      <w:lang w:val="en-GB"/>
    </w:rPr>
  </w:style>
  <w:style w:type="character" w:styleId="Strong">
    <w:name w:val="Strong"/>
    <w:uiPriority w:val="99"/>
    <w:qFormat/>
    <w:rPr>
      <w:rFonts w:cs="Times New Roman"/>
      <w:b/>
      <w:bCs/>
      <w:lang w:val="en-GB"/>
    </w:rPr>
  </w:style>
  <w:style w:type="character" w:styleId="SubtleEmphasis">
    <w:name w:val="Subtle Emphasis"/>
    <w:uiPriority w:val="99"/>
    <w:qFormat/>
    <w:rPr>
      <w:rFonts w:cs="Times New Roman"/>
      <w:i/>
      <w:iCs/>
      <w:color w:val="404040"/>
      <w:lang w:val="en-GB"/>
    </w:rPr>
  </w:style>
  <w:style w:type="character" w:styleId="SubtleReference">
    <w:name w:val="Subtle Reference"/>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tblPr/>
    <w:tcPr>
      <w:tcBorders>
        <w:right w:val="single" w:sz="6" w:space="0" w:color="808080"/>
      </w:tcBorders>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tblPr/>
    <w:tcPr>
      <w:tcBorders>
        <w:bottom w:val="single" w:sz="6" w:space="0" w:color="FFFFFF"/>
        <w:right w:val="single" w:sz="6" w:space="0" w:color="FFFFFF"/>
      </w:tcBorders>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tblPr/>
    <w:tcPr>
      <w:tcBorders>
        <w:bottom w:val="single" w:sz="6" w:space="0" w:color="FFFFFF"/>
      </w:tcBorders>
      <w:shd w:val="solid" w:color="C0C0C0" w:fill="FFFFFF"/>
    </w:tcPr>
  </w:style>
  <w:style w:type="table" w:styleId="TableClassic1">
    <w:name w:val="Table Classic 1"/>
    <w:basedOn w:val="TableNormal"/>
    <w:uiPriority w:val="99"/>
    <w:semiHidden/>
    <w:pPr>
      <w:tabs>
        <w:tab w:val="left" w:pos="567"/>
        <w:tab w:val="left" w:pos="1134"/>
        <w:tab w:val="left" w:pos="1701"/>
        <w:tab w:val="left" w:pos="2268"/>
      </w:tabs>
      <w:jc w:val="both"/>
    </w:pPr>
    <w:tblPr/>
    <w:tcPr>
      <w:tcBorders>
        <w:top w:val="single" w:sz="6" w:space="0" w:color="000000"/>
        <w:right w:val="single" w:sz="6" w:space="0" w:color="000000"/>
      </w:tcBorders>
    </w:tcPr>
  </w:style>
  <w:style w:type="table" w:styleId="TableClassic2">
    <w:name w:val="Table Classic 2"/>
    <w:basedOn w:val="TableNormal"/>
    <w:uiPriority w:val="99"/>
    <w:semiHidden/>
    <w:pPr>
      <w:tabs>
        <w:tab w:val="left" w:pos="567"/>
        <w:tab w:val="left" w:pos="1134"/>
        <w:tab w:val="left" w:pos="1701"/>
        <w:tab w:val="left" w:pos="2268"/>
      </w:tabs>
      <w:jc w:val="both"/>
    </w:pPr>
    <w:tblPr/>
  </w:style>
  <w:style w:type="table" w:styleId="TableClassic3">
    <w:name w:val="Table Classic 3"/>
    <w:basedOn w:val="TableNormal"/>
    <w:uiPriority w:val="99"/>
    <w:semiHidden/>
    <w:pPr>
      <w:tabs>
        <w:tab w:val="left" w:pos="567"/>
        <w:tab w:val="left" w:pos="1134"/>
        <w:tab w:val="left" w:pos="1701"/>
        <w:tab w:val="left" w:pos="2268"/>
      </w:tabs>
      <w:jc w:val="both"/>
    </w:pPr>
    <w:rPr>
      <w:color w:val="000080"/>
    </w:rPr>
    <w:tblPr/>
    <w:tcPr>
      <w:tcBorders>
        <w:top w:val="single" w:sz="12" w:space="0" w:color="000000"/>
      </w:tcBorders>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tblPr/>
    <w:tcPr>
      <w:tcBorders>
        <w:bottom w:val="single" w:sz="6" w:space="0" w:color="000000"/>
      </w:tcBorders>
    </w:tcPr>
  </w:style>
  <w:style w:type="table" w:styleId="TableColorful1">
    <w:name w:val="Table Colorful 1"/>
    <w:basedOn w:val="TableNormal"/>
    <w:uiPriority w:val="99"/>
    <w:semiHidden/>
    <w:pPr>
      <w:tabs>
        <w:tab w:val="left" w:pos="567"/>
        <w:tab w:val="left" w:pos="1134"/>
        <w:tab w:val="left" w:pos="1701"/>
        <w:tab w:val="left" w:pos="2268"/>
      </w:tabs>
      <w:jc w:val="both"/>
    </w:pPr>
    <w:rPr>
      <w:color w:val="FFFFFF"/>
    </w:rPr>
    <w:tblPr/>
  </w:style>
  <w:style w:type="table" w:styleId="TableColorful2">
    <w:name w:val="Table Colorful 2"/>
    <w:basedOn w:val="TableNormal"/>
    <w:uiPriority w:val="99"/>
    <w:semiHidden/>
    <w:pPr>
      <w:tabs>
        <w:tab w:val="left" w:pos="567"/>
        <w:tab w:val="left" w:pos="1134"/>
        <w:tab w:val="left" w:pos="1701"/>
        <w:tab w:val="left" w:pos="2268"/>
      </w:tabs>
      <w:jc w:val="both"/>
    </w:pPr>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tblPr/>
  </w:style>
  <w:style w:type="table" w:styleId="TableColumns1">
    <w:name w:val="Table Columns 1"/>
    <w:basedOn w:val="TableNormal"/>
    <w:uiPriority w:val="99"/>
    <w:semiHidden/>
    <w:pPr>
      <w:tabs>
        <w:tab w:val="left" w:pos="567"/>
        <w:tab w:val="left" w:pos="1134"/>
        <w:tab w:val="left" w:pos="1701"/>
        <w:tab w:val="left" w:pos="2268"/>
      </w:tabs>
      <w:jc w:val="both"/>
    </w:pPr>
    <w:rPr>
      <w:b/>
      <w:bCs/>
    </w:rPr>
    <w:tblPr/>
  </w:style>
  <w:style w:type="table" w:styleId="TableColumns2">
    <w:name w:val="Table Columns 2"/>
    <w:basedOn w:val="TableNormal"/>
    <w:uiPriority w:val="99"/>
    <w:semiHidden/>
    <w:pPr>
      <w:tabs>
        <w:tab w:val="left" w:pos="567"/>
        <w:tab w:val="left" w:pos="1134"/>
        <w:tab w:val="left" w:pos="1701"/>
        <w:tab w:val="left" w:pos="2268"/>
      </w:tabs>
      <w:jc w:val="both"/>
    </w:pPr>
    <w:rPr>
      <w:b/>
      <w:bCs/>
    </w:rPr>
    <w:tblPr/>
  </w:style>
  <w:style w:type="table" w:styleId="TableColumns3">
    <w:name w:val="Table Columns 3"/>
    <w:basedOn w:val="TableNormal"/>
    <w:uiPriority w:val="99"/>
    <w:semiHidden/>
    <w:pPr>
      <w:tabs>
        <w:tab w:val="left" w:pos="567"/>
        <w:tab w:val="left" w:pos="1134"/>
        <w:tab w:val="left" w:pos="1701"/>
        <w:tab w:val="left" w:pos="2268"/>
      </w:tabs>
      <w:jc w:val="both"/>
    </w:pPr>
    <w:rPr>
      <w:b/>
      <w:bCs/>
    </w:rPr>
    <w:tblPr/>
  </w:style>
  <w:style w:type="table" w:styleId="TableColumns4">
    <w:name w:val="Table Columns 4"/>
    <w:basedOn w:val="TableNormal"/>
    <w:uiPriority w:val="99"/>
    <w:semiHidden/>
    <w:pPr>
      <w:tabs>
        <w:tab w:val="left" w:pos="567"/>
        <w:tab w:val="left" w:pos="1134"/>
        <w:tab w:val="left" w:pos="1701"/>
        <w:tab w:val="left" w:pos="2268"/>
      </w:tabs>
      <w:jc w:val="both"/>
    </w:pPr>
    <w:tblPr/>
    <w:tcPr>
      <w:shd w:val="pct10" w:color="000000" w:fill="FFFFFF"/>
    </w:tcPr>
  </w:style>
  <w:style w:type="table" w:styleId="TableColumns5">
    <w:name w:val="Table Columns 5"/>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Contemporary">
    <w:name w:val="Table Contemporary"/>
    <w:basedOn w:val="TableNormal"/>
    <w:uiPriority w:val="99"/>
    <w:semiHidden/>
    <w:pPr>
      <w:tabs>
        <w:tab w:val="left" w:pos="567"/>
        <w:tab w:val="left" w:pos="1134"/>
        <w:tab w:val="left" w:pos="1701"/>
        <w:tab w:val="left" w:pos="2268"/>
      </w:tabs>
      <w:jc w:val="both"/>
    </w:pPr>
    <w:tblPr/>
    <w:tcPr>
      <w:shd w:val="pct5" w:color="000000" w:fill="FFFFFF"/>
    </w:tcPr>
  </w:style>
  <w:style w:type="table" w:styleId="TableElegant">
    <w:name w:val="Table Elegant"/>
    <w:basedOn w:val="TableNormal"/>
    <w:uiPriority w:val="99"/>
    <w:semiHidden/>
    <w:pPr>
      <w:tabs>
        <w:tab w:val="left" w:pos="567"/>
        <w:tab w:val="left" w:pos="1134"/>
        <w:tab w:val="left" w:pos="1701"/>
        <w:tab w:val="left" w:pos="2268"/>
      </w:tabs>
      <w:jc w:val="both"/>
    </w:pPr>
    <w:tblPr/>
  </w:style>
  <w:style w:type="table" w:styleId="TableGrid10">
    <w:name w:val="Table Grid 1"/>
    <w:basedOn w:val="TableNormal"/>
    <w:uiPriority w:val="99"/>
    <w:semiHidden/>
    <w:pPr>
      <w:tabs>
        <w:tab w:val="left" w:pos="567"/>
        <w:tab w:val="left" w:pos="1134"/>
        <w:tab w:val="left" w:pos="1701"/>
        <w:tab w:val="left" w:pos="2268"/>
      </w:tabs>
      <w:jc w:val="both"/>
    </w:pPr>
    <w:tblPr/>
  </w:style>
  <w:style w:type="table" w:styleId="TableGrid2">
    <w:name w:val="Table Grid 2"/>
    <w:basedOn w:val="TableNormal"/>
    <w:uiPriority w:val="99"/>
    <w:semiHidden/>
    <w:pPr>
      <w:tabs>
        <w:tab w:val="left" w:pos="567"/>
        <w:tab w:val="left" w:pos="1134"/>
        <w:tab w:val="left" w:pos="1701"/>
        <w:tab w:val="left" w:pos="2268"/>
      </w:tabs>
      <w:jc w:val="both"/>
    </w:pPr>
    <w:tblPr/>
  </w:style>
  <w:style w:type="table" w:styleId="TableGrid3">
    <w:name w:val="Table Grid 3"/>
    <w:basedOn w:val="TableNormal"/>
    <w:uiPriority w:val="99"/>
    <w:semiHidden/>
    <w:pPr>
      <w:tabs>
        <w:tab w:val="left" w:pos="567"/>
        <w:tab w:val="left" w:pos="1134"/>
        <w:tab w:val="left" w:pos="1701"/>
        <w:tab w:val="left" w:pos="2268"/>
      </w:tabs>
      <w:jc w:val="both"/>
    </w:pPr>
    <w:tblPr/>
  </w:style>
  <w:style w:type="table" w:styleId="TableGrid4">
    <w:name w:val="Table Grid 4"/>
    <w:basedOn w:val="TableNormal"/>
    <w:uiPriority w:val="99"/>
    <w:semiHidden/>
    <w:pPr>
      <w:tabs>
        <w:tab w:val="left" w:pos="567"/>
        <w:tab w:val="left" w:pos="1134"/>
        <w:tab w:val="left" w:pos="1701"/>
        <w:tab w:val="left" w:pos="2268"/>
      </w:tabs>
      <w:jc w:val="both"/>
    </w:pPr>
    <w:tblPr/>
    <w:tcPr>
      <w:tcBorders>
        <w:top w:val="single" w:sz="6" w:space="0" w:color="000000"/>
      </w:tcBorders>
    </w:tcPr>
  </w:style>
  <w:style w:type="table" w:styleId="TableGrid5">
    <w:name w:val="Table Grid 5"/>
    <w:basedOn w:val="TableNormal"/>
    <w:uiPriority w:val="99"/>
    <w:semiHidden/>
    <w:pPr>
      <w:tabs>
        <w:tab w:val="left" w:pos="567"/>
        <w:tab w:val="left" w:pos="1134"/>
        <w:tab w:val="left" w:pos="1701"/>
        <w:tab w:val="left" w:pos="2268"/>
      </w:tabs>
      <w:jc w:val="both"/>
    </w:pPr>
    <w:tblPr/>
  </w:style>
  <w:style w:type="table" w:styleId="TableGrid6">
    <w:name w:val="Table Grid 6"/>
    <w:basedOn w:val="TableNormal"/>
    <w:uiPriority w:val="99"/>
    <w:semiHidden/>
    <w:pPr>
      <w:tabs>
        <w:tab w:val="left" w:pos="567"/>
        <w:tab w:val="left" w:pos="1134"/>
        <w:tab w:val="left" w:pos="1701"/>
        <w:tab w:val="left" w:pos="2268"/>
      </w:tabs>
      <w:jc w:val="both"/>
    </w:pPr>
    <w:tblPr/>
  </w:style>
  <w:style w:type="table" w:styleId="TableGrid7">
    <w:name w:val="Table Grid 7"/>
    <w:basedOn w:val="TableNormal"/>
    <w:uiPriority w:val="99"/>
    <w:semiHidden/>
    <w:pPr>
      <w:tabs>
        <w:tab w:val="left" w:pos="567"/>
        <w:tab w:val="left" w:pos="1134"/>
        <w:tab w:val="left" w:pos="1701"/>
        <w:tab w:val="left" w:pos="2268"/>
      </w:tabs>
      <w:jc w:val="both"/>
    </w:pPr>
    <w:rPr>
      <w:b/>
      <w:bCs/>
    </w:rPr>
    <w:tblPr/>
  </w:style>
  <w:style w:type="table" w:styleId="TableGrid8">
    <w:name w:val="Table Grid 8"/>
    <w:basedOn w:val="TableNormal"/>
    <w:uiPriority w:val="99"/>
    <w:semiHidden/>
    <w:pPr>
      <w:tabs>
        <w:tab w:val="left" w:pos="567"/>
        <w:tab w:val="left" w:pos="1134"/>
        <w:tab w:val="left" w:pos="1701"/>
        <w:tab w:val="left" w:pos="2268"/>
      </w:tabs>
      <w:jc w:val="both"/>
    </w:pPr>
    <w:tblPr/>
  </w:style>
  <w:style w:type="table" w:customStyle="1" w:styleId="TableGridLight1">
    <w:name w:val="Table Grid Light1"/>
    <w:uiPriority w:val="99"/>
    <w:tblPr>
      <w:tblInd w:w="0" w:type="dxa"/>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List2">
    <w:name w:val="Table List 2"/>
    <w:basedOn w:val="TableNormal"/>
    <w:uiPriority w:val="99"/>
    <w:semiHidden/>
    <w:pPr>
      <w:tabs>
        <w:tab w:val="left" w:pos="567"/>
        <w:tab w:val="left" w:pos="1134"/>
        <w:tab w:val="left" w:pos="1701"/>
        <w:tab w:val="left" w:pos="2268"/>
      </w:tabs>
      <w:jc w:val="both"/>
    </w:pPr>
    <w:tblPr/>
    <w:tcPr>
      <w:shd w:val="pct20" w:color="00FF00" w:fill="FFFFFF"/>
    </w:tcPr>
  </w:style>
  <w:style w:type="table" w:styleId="TableList3">
    <w:name w:val="Table List 3"/>
    <w:basedOn w:val="TableNormal"/>
    <w:uiPriority w:val="99"/>
    <w:semiHidden/>
    <w:pPr>
      <w:tabs>
        <w:tab w:val="left" w:pos="567"/>
        <w:tab w:val="left" w:pos="1134"/>
        <w:tab w:val="left" w:pos="1701"/>
        <w:tab w:val="left" w:pos="2268"/>
      </w:tabs>
      <w:jc w:val="both"/>
    </w:pPr>
    <w:tblPr/>
  </w:style>
  <w:style w:type="table" w:styleId="TableList4">
    <w:name w:val="Table List 4"/>
    <w:basedOn w:val="TableNormal"/>
    <w:uiPriority w:val="99"/>
    <w:semiHidden/>
    <w:pPr>
      <w:tabs>
        <w:tab w:val="left" w:pos="567"/>
        <w:tab w:val="left" w:pos="1134"/>
        <w:tab w:val="left" w:pos="1701"/>
        <w:tab w:val="left" w:pos="2268"/>
      </w:tabs>
      <w:jc w:val="both"/>
    </w:pPr>
    <w:tblPr/>
  </w:style>
  <w:style w:type="table" w:styleId="TableList5">
    <w:name w:val="Table List 5"/>
    <w:basedOn w:val="TableNormal"/>
    <w:uiPriority w:val="99"/>
    <w:semiHidden/>
    <w:pPr>
      <w:tabs>
        <w:tab w:val="left" w:pos="567"/>
        <w:tab w:val="left" w:pos="1134"/>
        <w:tab w:val="left" w:pos="1701"/>
        <w:tab w:val="left" w:pos="2268"/>
      </w:tabs>
      <w:jc w:val="both"/>
    </w:pPr>
    <w:tblPr/>
    <w:tcPr>
      <w:tcBorders>
        <w:bottom w:val="single" w:sz="12" w:space="0" w:color="000000"/>
      </w:tcBorders>
    </w:tcPr>
  </w:style>
  <w:style w:type="table" w:styleId="TableList6">
    <w:name w:val="Table List 6"/>
    <w:basedOn w:val="TableNormal"/>
    <w:uiPriority w:val="99"/>
    <w:semiHidden/>
    <w:pPr>
      <w:tabs>
        <w:tab w:val="left" w:pos="567"/>
        <w:tab w:val="left" w:pos="1134"/>
        <w:tab w:val="left" w:pos="1701"/>
        <w:tab w:val="left" w:pos="2268"/>
      </w:tabs>
      <w:jc w:val="both"/>
    </w:pPr>
    <w:tblPr/>
    <w:tcPr>
      <w:tcBorders>
        <w:right w:val="single" w:sz="12" w:space="0" w:color="000000"/>
      </w:tcBorders>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tblPr/>
    <w:tcPr>
      <w:shd w:val="pct20" w:color="000000" w:fill="FFFFFF"/>
    </w:tcPr>
  </w:style>
  <w:style w:type="table" w:styleId="TableList8">
    <w:name w:val="Table List 8"/>
    <w:basedOn w:val="TableNormal"/>
    <w:uiPriority w:val="99"/>
    <w:semiHidden/>
    <w:pPr>
      <w:tabs>
        <w:tab w:val="left" w:pos="567"/>
        <w:tab w:val="left" w:pos="1134"/>
        <w:tab w:val="left" w:pos="1701"/>
        <w:tab w:val="left" w:pos="2268"/>
      </w:tabs>
      <w:jc w:val="both"/>
    </w:pPr>
    <w:tblPr/>
    <w:tcPr>
      <w:shd w:val="pct25" w:color="FFFF00" w:fill="FFFFFF"/>
    </w:tc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tblPr/>
  </w:style>
  <w:style w:type="table" w:styleId="TableSimple1">
    <w:name w:val="Table Simple 1"/>
    <w:basedOn w:val="TableNormal"/>
    <w:uiPriority w:val="99"/>
    <w:semiHidden/>
    <w:pPr>
      <w:tabs>
        <w:tab w:val="left" w:pos="567"/>
        <w:tab w:val="left" w:pos="1134"/>
        <w:tab w:val="left" w:pos="1701"/>
        <w:tab w:val="left" w:pos="2268"/>
      </w:tabs>
      <w:jc w:val="both"/>
    </w:pPr>
    <w:tblPr/>
  </w:style>
  <w:style w:type="table" w:styleId="TableSimple2">
    <w:name w:val="Table Simple 2"/>
    <w:basedOn w:val="TableNormal"/>
    <w:uiPriority w:val="99"/>
    <w:semiHidden/>
    <w:pPr>
      <w:tabs>
        <w:tab w:val="left" w:pos="567"/>
        <w:tab w:val="left" w:pos="1134"/>
        <w:tab w:val="left" w:pos="1701"/>
        <w:tab w:val="left" w:pos="2268"/>
      </w:tabs>
      <w:jc w:val="both"/>
    </w:pPr>
    <w:tblPr/>
  </w:style>
  <w:style w:type="table" w:styleId="TableSimple3">
    <w:name w:val="Table Simple 3"/>
    <w:basedOn w:val="TableNormal"/>
    <w:uiPriority w:val="99"/>
    <w:semiHidden/>
    <w:pPr>
      <w:tabs>
        <w:tab w:val="left" w:pos="567"/>
        <w:tab w:val="left" w:pos="1134"/>
        <w:tab w:val="left" w:pos="1701"/>
        <w:tab w:val="left" w:pos="2268"/>
      </w:tabs>
      <w:jc w:val="both"/>
    </w:pPr>
    <w:tblPr/>
  </w:style>
  <w:style w:type="table" w:styleId="TableSubtle1">
    <w:name w:val="Table Subtle 1"/>
    <w:basedOn w:val="TableNormal"/>
    <w:uiPriority w:val="99"/>
    <w:semiHidden/>
    <w:pPr>
      <w:tabs>
        <w:tab w:val="left" w:pos="567"/>
        <w:tab w:val="left" w:pos="1134"/>
        <w:tab w:val="left" w:pos="1701"/>
        <w:tab w:val="left" w:pos="2268"/>
      </w:tabs>
      <w:jc w:val="both"/>
    </w:pPr>
    <w:tblPr/>
    <w:tcPr>
      <w:tcBorders>
        <w:bottom w:val="single" w:sz="6" w:space="0" w:color="000000"/>
      </w:tcBorders>
      <w:shd w:val="pct25" w:color="808000" w:fill="FFFFFF"/>
    </w:tcPr>
  </w:style>
  <w:style w:type="table" w:styleId="TableSubtle2">
    <w:name w:val="Table Subtle 2"/>
    <w:basedOn w:val="TableNormal"/>
    <w:uiPriority w:val="99"/>
    <w:semiHidden/>
    <w:pPr>
      <w:tabs>
        <w:tab w:val="left" w:pos="567"/>
        <w:tab w:val="left" w:pos="1134"/>
        <w:tab w:val="left" w:pos="1701"/>
        <w:tab w:val="left" w:pos="2268"/>
      </w:tabs>
      <w:jc w:val="both"/>
    </w:pPr>
    <w:tblPr/>
    <w:tcPr>
      <w:tcBorders>
        <w:left w:val="single" w:sz="12" w:space="0" w:color="000000"/>
        <w:right w:val="single" w:sz="12" w:space="0" w:color="000000"/>
      </w:tcBorders>
      <w:shd w:val="pct25" w:color="808000" w:fill="FFFFFF"/>
    </w:tcPr>
  </w:style>
  <w:style w:type="table" w:styleId="TableTheme">
    <w:name w:val="Table Theme"/>
    <w:basedOn w:val="TableNormal"/>
    <w:uiPriority w:val="99"/>
    <w:semiHidden/>
    <w:pPr>
      <w:tabs>
        <w:tab w:val="left" w:pos="567"/>
        <w:tab w:val="left" w:pos="1134"/>
        <w:tab w:val="left" w:pos="1701"/>
        <w:tab w:val="left" w:pos="2268"/>
      </w:tabs>
      <w:jc w:val="both"/>
    </w:pPr>
    <w:tblPr/>
  </w:style>
  <w:style w:type="table" w:styleId="TableWeb1">
    <w:name w:val="Table Web 1"/>
    <w:basedOn w:val="TableNormal"/>
    <w:uiPriority w:val="99"/>
    <w:semiHidden/>
    <w:pPr>
      <w:tabs>
        <w:tab w:val="left" w:pos="567"/>
        <w:tab w:val="left" w:pos="1134"/>
        <w:tab w:val="left" w:pos="1701"/>
        <w:tab w:val="left" w:pos="2268"/>
      </w:tabs>
      <w:jc w:val="both"/>
    </w:pPr>
    <w:tblPr/>
  </w:style>
  <w:style w:type="table" w:styleId="TableWeb2">
    <w:name w:val="Table Web 2"/>
    <w:basedOn w:val="TableNormal"/>
    <w:uiPriority w:val="99"/>
    <w:semiHidden/>
    <w:pPr>
      <w:tabs>
        <w:tab w:val="left" w:pos="567"/>
        <w:tab w:val="left" w:pos="1134"/>
        <w:tab w:val="left" w:pos="1701"/>
        <w:tab w:val="left" w:pos="2268"/>
      </w:tabs>
      <w:jc w:val="both"/>
    </w:pPr>
    <w:tblPr/>
  </w:style>
  <w:style w:type="table" w:styleId="TableWeb3">
    <w:name w:val="Table Web 3"/>
    <w:basedOn w:val="TableNormal"/>
    <w:uiPriority w:val="99"/>
    <w:semiHidden/>
    <w:pPr>
      <w:tabs>
        <w:tab w:val="left" w:pos="567"/>
        <w:tab w:val="left" w:pos="1134"/>
        <w:tab w:val="left" w:pos="1701"/>
        <w:tab w:val="left" w:pos="2268"/>
      </w:tabs>
      <w:jc w:val="both"/>
    </w:pPr>
    <w:tblPr/>
  </w:style>
  <w:style w:type="paragraph" w:styleId="TOCHeading">
    <w:name w:val="TOC Heading"/>
    <w:basedOn w:val="Heading1"/>
    <w:next w:val="Normal"/>
    <w:uiPriority w:val="99"/>
    <w:qFormat/>
    <w:pPr>
      <w:numPr>
        <w:numId w:val="0"/>
      </w:numPr>
      <w:tabs>
        <w:tab w:val="left" w:pos="567"/>
      </w:tabs>
      <w:spacing w:after="0"/>
      <w:jc w:val="both"/>
      <w:outlineLvl w:val="9"/>
    </w:pPr>
    <w:rPr>
      <w:b w:val="0"/>
      <w:bCs w:val="0"/>
      <w:color w:val="365F91"/>
      <w:kern w:val="0"/>
      <w:sz w:val="32"/>
    </w:rPr>
  </w:style>
  <w:style w:type="character" w:customStyle="1" w:styleId="UnresolvedMention1">
    <w:name w:val="Unresolved Mention1"/>
    <w:uiPriority w:val="99"/>
    <w:semiHidden/>
    <w:rPr>
      <w:rFonts w:cs="Times New Roman"/>
      <w:color w:val="605E5C"/>
      <w:shd w:val="clear" w:color="auto" w:fill="E1DFDD"/>
      <w:lang w:val="en-GB"/>
    </w:rPr>
  </w:style>
  <w:style w:type="paragraph" w:customStyle="1" w:styleId="CBDAgendaItemReport">
    <w:name w:val="CBD_AgendaItem_Report"/>
    <w:basedOn w:val="Normal"/>
    <w:uiPriority w:val="99"/>
    <w:pPr>
      <w:keepNext/>
      <w:keepLines/>
      <w:spacing w:before="240" w:after="120"/>
      <w:jc w:val="left"/>
    </w:pPr>
    <w:rPr>
      <w:b/>
      <w:sz w:val="24"/>
    </w:rPr>
  </w:style>
  <w:style w:type="paragraph" w:customStyle="1" w:styleId="CBDagendaItem0">
    <w:name w:val="CBD_agenda_Item"/>
    <w:basedOn w:val="CBDNormalNumber"/>
    <w:uiPriority w:val="99"/>
  </w:style>
  <w:style w:type="paragraph" w:customStyle="1" w:styleId="Para10">
    <w:name w:val="Para 1"/>
    <w:basedOn w:val="Normal"/>
    <w:uiPriority w:val="99"/>
    <w:pPr>
      <w:tabs>
        <w:tab w:val="clear" w:pos="567"/>
        <w:tab w:val="clear" w:pos="1701"/>
        <w:tab w:val="clear" w:pos="2268"/>
      </w:tabs>
      <w:spacing w:before="120" w:after="120"/>
      <w:ind w:left="567"/>
    </w:pPr>
    <w:rPr>
      <w:szCs w:val="24"/>
      <w:lang w:val="en-CA"/>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ListCBD">
    <w:name w:val="ListCBD"/>
    <w:rsid w:val="007A6374"/>
    <w:pPr>
      <w:numPr>
        <w:numId w:val="16"/>
      </w:numPr>
    </w:pPr>
  </w:style>
  <w:style w:type="numbering" w:customStyle="1" w:styleId="CBDHeadings">
    <w:name w:val="CBD_Headings"/>
    <w:rsid w:val="007A6374"/>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recommendations/sbi-03/sbi-03-rec-16-zh.pdf" TargetMode="External"/><Relationship Id="rId18" Type="http://schemas.openxmlformats.org/officeDocument/2006/relationships/hyperlink" Target="https://www.cbd.int/decisions/np-mop/?m=np-mop-05"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emf"/><Relationship Id="rId12" Type="http://schemas.openxmlformats.org/officeDocument/2006/relationships/hyperlink" Target="https://www.cbd.int/doc/decisions/np-mop-05/np-mop-05-dec-08-zh.pdf" TargetMode="External"/><Relationship Id="rId17" Type="http://schemas.openxmlformats.org/officeDocument/2006/relationships/hyperlink" Target="https://www.cbd.int/doc/recommendations/sbi-03/sbi-03-rec-16-zh.pdf"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bd.int/doc/recommendations/sbi-03/sbi-03-rec-16-zh.pdf" TargetMode="External"/><Relationship Id="rId20" Type="http://schemas.openxmlformats.org/officeDocument/2006/relationships/hyperlink" Target="https://www.cbd.int/decisions/np-mop/?m=np-mop-0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recommendations/sbi-03/sbi-03-rec-16-zh.pdf"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cbd.int/doc/recommendations/sbi-03/sbi-03-rec-16-zh.pdf" TargetMode="External"/><Relationship Id="rId23" Type="http://schemas.openxmlformats.org/officeDocument/2006/relationships/footer" Target="footer1.xml"/><Relationship Id="rId10" Type="http://schemas.openxmlformats.org/officeDocument/2006/relationships/hyperlink" Target="https://www.cbd.int/doc/decisions/np-mop-04/np-mop-04-dec-11-zh.pdf" TargetMode="External"/><Relationship Id="rId19" Type="http://schemas.openxmlformats.org/officeDocument/2006/relationships/hyperlink" Target="https://www.cbd.int/recommendations/sbi/?m=sbi-03"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notifications/2025-033"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notifications/2025-033" TargetMode="External"/><Relationship Id="rId1" Type="http://schemas.openxmlformats.org/officeDocument/2006/relationships/hyperlink" Target="https://www.cbd.int/documents/CBD/SBI/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ukondjo.shikongo\Downloads\sbi-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sbi-06-template-en.dotm</Template>
  <TotalTime>103</TotalTime>
  <Pages>7</Pages>
  <Words>922</Words>
  <Characters>5261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Specialized international access and benefit-sharing instruments in the context of Article 4, paragraph 4, of the Nagoya Protocol</vt:lpstr>
    </vt:vector>
  </TitlesOfParts>
  <Company>SCBD</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Specialized international access and benefit-sharing instruments in the context of Article 4, paragraph 4, of the Nagoya Protocol</dc:title>
  <dc:subject>CBD/SBI/6/8</dc:subject>
  <dc:creator>taukondjo.shikongo</dc:creator>
  <cp:keywords>Convention on Biological Diversity</cp:keywords>
  <dc:description/>
  <cp:lastModifiedBy>Tatiana Zavarzina</cp:lastModifiedBy>
  <cp:revision>10</cp:revision>
  <cp:lastPrinted>2025-12-27T01:50:00Z</cp:lastPrinted>
  <dcterms:created xsi:type="dcterms:W3CDTF">2025-12-25T21:57:00Z</dcterms:created>
  <dcterms:modified xsi:type="dcterms:W3CDTF">2025-12-29T15:11:00Z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TaxCatchAll">
    <vt:lpwstr/>
  </property>
  <property fmtid="{D5CDD505-2E9C-101B-9397-08002B2CF9AE}" pid="11" name="lcf76f155ced4ddcb4097134ff3c332f">
    <vt:lpwstr/>
  </property>
</Properties>
</file>