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64A01" w14:paraId="07F6750D" w14:textId="77777777" w:rsidTr="009C2DE6">
        <w:trPr>
          <w:trHeight w:val="851"/>
        </w:trPr>
        <w:tc>
          <w:tcPr>
            <w:tcW w:w="976" w:type="dxa"/>
            <w:tcBorders>
              <w:bottom w:val="single" w:sz="12" w:space="0" w:color="auto"/>
            </w:tcBorders>
          </w:tcPr>
          <w:p w14:paraId="1DEFF495" w14:textId="77777777" w:rsidR="00C9161D" w:rsidRPr="00F64A01" w:rsidRDefault="00C9161D" w:rsidP="00321985">
            <w:pPr>
              <w:rPr>
                <w:lang w:val="fr-FR"/>
              </w:rPr>
            </w:pPr>
            <w:r w:rsidRPr="00F64A01">
              <w:rPr>
                <w:lang w:val="fr-FR"/>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3AB578D" w:rsidR="00FA663B" w:rsidRPr="00F64A01" w:rsidRDefault="0083141D" w:rsidP="00321985">
            <w:pPr>
              <w:rPr>
                <w:lang w:val="fr-FR"/>
              </w:rPr>
            </w:pPr>
            <w:r w:rsidRPr="00594BB1">
              <w:rPr>
                <w:snapToGrid w:val="0"/>
                <w:lang w:val="fr-FR" w:eastAsia="fr-CA"/>
              </w:rPr>
              <w:drawing>
                <wp:inline distT="0" distB="0" distL="0" distR="0" wp14:anchorId="1F4A9AA2" wp14:editId="0C1B0D99">
                  <wp:extent cx="593725" cy="340995"/>
                  <wp:effectExtent l="0" t="0" r="0" b="1905"/>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F64A01" w:rsidRDefault="00C9161D" w:rsidP="00C9161D">
            <w:pPr>
              <w:jc w:val="right"/>
              <w:rPr>
                <w:rFonts w:ascii="Arial" w:hAnsi="Arial" w:cs="Arial"/>
                <w:b/>
                <w:sz w:val="32"/>
                <w:szCs w:val="32"/>
                <w:lang w:val="fr-FR"/>
              </w:rPr>
            </w:pPr>
            <w:r w:rsidRPr="00F64A01">
              <w:rPr>
                <w:rFonts w:ascii="Arial" w:hAnsi="Arial" w:cs="Arial"/>
                <w:b/>
                <w:sz w:val="32"/>
                <w:szCs w:val="32"/>
                <w:lang w:val="fr-FR"/>
              </w:rPr>
              <w:t>CBD</w:t>
            </w:r>
          </w:p>
        </w:tc>
      </w:tr>
      <w:tr w:rsidR="00C9161D" w:rsidRPr="00F64A01" w14:paraId="6F751905" w14:textId="77777777" w:rsidTr="00CF1848">
        <w:tc>
          <w:tcPr>
            <w:tcW w:w="6117" w:type="dxa"/>
            <w:gridSpan w:val="2"/>
            <w:tcBorders>
              <w:top w:val="single" w:sz="12" w:space="0" w:color="auto"/>
              <w:bottom w:val="single" w:sz="36" w:space="0" w:color="auto"/>
            </w:tcBorders>
            <w:vAlign w:val="center"/>
          </w:tcPr>
          <w:p w14:paraId="14F52A6C" w14:textId="32906708" w:rsidR="00C9161D" w:rsidRPr="00F64A01" w:rsidRDefault="0083141D" w:rsidP="00C9161D">
            <w:pPr>
              <w:rPr>
                <w:lang w:val="fr-FR"/>
              </w:rPr>
            </w:pPr>
            <w:r w:rsidRPr="00F64A01">
              <w:rPr>
                <w:lang w:val="fr-FR"/>
              </w:rPr>
              <w:drawing>
                <wp:inline distT="0" distB="0" distL="0" distR="0" wp14:anchorId="68CD7280" wp14:editId="2CAE751D">
                  <wp:extent cx="2857500" cy="1076325"/>
                  <wp:effectExtent l="0" t="0" r="0" b="9525"/>
                  <wp:docPr id="9"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F64A01" w:rsidRDefault="00C9161D" w:rsidP="00176CEE">
            <w:pPr>
              <w:ind w:left="1215"/>
              <w:rPr>
                <w:szCs w:val="22"/>
                <w:lang w:val="fr-FR"/>
              </w:rPr>
            </w:pPr>
            <w:r w:rsidRPr="00F64A01">
              <w:rPr>
                <w:szCs w:val="22"/>
                <w:lang w:val="fr-FR"/>
              </w:rPr>
              <w:t>Distr.</w:t>
            </w:r>
          </w:p>
          <w:p w14:paraId="0C21C438" w14:textId="20321A5E" w:rsidR="00C9161D" w:rsidRPr="00F64A01" w:rsidRDefault="00B26ACD" w:rsidP="00176CEE">
            <w:pPr>
              <w:ind w:left="1215"/>
              <w:rPr>
                <w:szCs w:val="22"/>
                <w:lang w:val="fr-FR"/>
              </w:rPr>
            </w:pPr>
            <w:r w:rsidRPr="00F64A01">
              <w:rPr>
                <w:caps/>
                <w:szCs w:val="22"/>
                <w:lang w:val="fr-FR"/>
              </w:rPr>
              <w:t>LIMIT</w:t>
            </w:r>
            <w:r w:rsidR="00E821A6">
              <w:rPr>
                <w:caps/>
                <w:szCs w:val="22"/>
                <w:lang w:val="fr-FR"/>
              </w:rPr>
              <w:t>ÉE</w:t>
            </w:r>
          </w:p>
          <w:p w14:paraId="06715052" w14:textId="77777777" w:rsidR="00C9161D" w:rsidRPr="00F64A01" w:rsidRDefault="00C9161D" w:rsidP="00176CEE">
            <w:pPr>
              <w:ind w:left="1215"/>
              <w:rPr>
                <w:szCs w:val="22"/>
                <w:lang w:val="fr-FR"/>
              </w:rPr>
            </w:pPr>
          </w:p>
          <w:p w14:paraId="44230134" w14:textId="2CAC499C" w:rsidR="00C9161D" w:rsidRPr="00F64A01" w:rsidRDefault="00000000" w:rsidP="00176CEE">
            <w:pPr>
              <w:ind w:left="1215"/>
              <w:rPr>
                <w:szCs w:val="22"/>
                <w:lang w:val="fr-FR"/>
              </w:rPr>
            </w:pPr>
            <w:sdt>
              <w:sdtPr>
                <w:rPr>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F64A01">
                  <w:rPr>
                    <w:lang w:val="fr-FR"/>
                  </w:rPr>
                  <w:t>CBD/</w:t>
                </w:r>
                <w:r w:rsidR="00BA33A0" w:rsidRPr="00F64A01">
                  <w:rPr>
                    <w:lang w:val="fr-FR"/>
                  </w:rPr>
                  <w:t>N</w:t>
                </w:r>
                <w:r w:rsidR="005E0ED3" w:rsidRPr="00F64A01">
                  <w:rPr>
                    <w:lang w:val="fr-FR"/>
                  </w:rPr>
                  <w:t>P/MOP/</w:t>
                </w:r>
                <w:r w:rsidR="00BA33A0" w:rsidRPr="00F64A01">
                  <w:rPr>
                    <w:lang w:val="fr-FR"/>
                  </w:rPr>
                  <w:t>4</w:t>
                </w:r>
                <w:r w:rsidR="00937130" w:rsidRPr="00F64A01">
                  <w:rPr>
                    <w:lang w:val="fr-FR"/>
                  </w:rPr>
                  <w:t>/</w:t>
                </w:r>
                <w:r w:rsidR="00B26ACD" w:rsidRPr="00F64A01">
                  <w:rPr>
                    <w:lang w:val="fr-FR"/>
                  </w:rPr>
                  <w:t>L.</w:t>
                </w:r>
                <w:r w:rsidR="00F44773" w:rsidRPr="00F64A01">
                  <w:rPr>
                    <w:lang w:val="fr-FR"/>
                  </w:rPr>
                  <w:t>10</w:t>
                </w:r>
              </w:sdtContent>
            </w:sdt>
          </w:p>
          <w:p w14:paraId="0DF1F033" w14:textId="719A5EF1" w:rsidR="00C9161D" w:rsidRPr="00F64A01" w:rsidRDefault="00F44773" w:rsidP="00176CEE">
            <w:pPr>
              <w:ind w:left="1215"/>
              <w:rPr>
                <w:szCs w:val="22"/>
                <w:lang w:val="fr-FR"/>
              </w:rPr>
            </w:pPr>
            <w:r w:rsidRPr="00F64A01">
              <w:rPr>
                <w:szCs w:val="22"/>
                <w:lang w:val="fr-FR"/>
              </w:rPr>
              <w:t xml:space="preserve">16 </w:t>
            </w:r>
            <w:r w:rsidR="0083141D" w:rsidRPr="00F64A01">
              <w:rPr>
                <w:szCs w:val="22"/>
                <w:lang w:val="fr-FR"/>
              </w:rPr>
              <w:t>décembre</w:t>
            </w:r>
            <w:r w:rsidR="00F6586C" w:rsidRPr="00F64A01">
              <w:rPr>
                <w:szCs w:val="22"/>
                <w:lang w:val="fr-FR"/>
              </w:rPr>
              <w:t xml:space="preserve"> 20</w:t>
            </w:r>
            <w:r w:rsidR="00FC25F8" w:rsidRPr="00F64A01">
              <w:rPr>
                <w:szCs w:val="22"/>
                <w:lang w:val="fr-FR"/>
              </w:rPr>
              <w:t>2</w:t>
            </w:r>
            <w:r w:rsidR="00B26ACD" w:rsidRPr="00F64A01">
              <w:rPr>
                <w:szCs w:val="22"/>
                <w:lang w:val="fr-FR"/>
              </w:rPr>
              <w:t>2</w:t>
            </w:r>
          </w:p>
          <w:p w14:paraId="73D5822F" w14:textId="77777777" w:rsidR="00F64A01" w:rsidRPr="009A03B2" w:rsidRDefault="00F64A01" w:rsidP="00F64A01">
            <w:pPr>
              <w:ind w:left="1213"/>
              <w:rPr>
                <w:szCs w:val="22"/>
                <w:lang w:val="fr-FR"/>
              </w:rPr>
            </w:pPr>
          </w:p>
          <w:p w14:paraId="60F02AAD" w14:textId="77777777" w:rsidR="00F64A01" w:rsidRPr="009A03B2" w:rsidRDefault="00F64A01" w:rsidP="00F64A01">
            <w:pPr>
              <w:ind w:left="1215"/>
              <w:rPr>
                <w:szCs w:val="22"/>
                <w:lang w:val="fr-FR"/>
              </w:rPr>
            </w:pPr>
            <w:r w:rsidRPr="009A03B2">
              <w:rPr>
                <w:szCs w:val="22"/>
                <w:lang w:val="fr-FR"/>
              </w:rPr>
              <w:t xml:space="preserve">FRANÇAIS </w:t>
            </w:r>
            <w:r w:rsidRPr="009A03B2">
              <w:rPr>
                <w:szCs w:val="22"/>
                <w:lang w:val="fr-FR"/>
              </w:rPr>
              <w:br/>
              <w:t>ORIGINAL : ANGLAIS</w:t>
            </w:r>
          </w:p>
          <w:p w14:paraId="5AA10CCE" w14:textId="77777777" w:rsidR="00C9161D" w:rsidRPr="00F64A01" w:rsidRDefault="00C9161D">
            <w:pPr>
              <w:rPr>
                <w:lang w:val="fr-FR"/>
              </w:rPr>
            </w:pPr>
          </w:p>
        </w:tc>
      </w:tr>
    </w:tbl>
    <w:p w14:paraId="1BF4A9A2" w14:textId="0D13895A" w:rsidR="003B7BB2" w:rsidRPr="00F64A01" w:rsidRDefault="00F64A01" w:rsidP="00BA33A0">
      <w:pPr>
        <w:pStyle w:val="Cornernotation"/>
        <w:kinsoku w:val="0"/>
        <w:overflowPunct w:val="0"/>
        <w:autoSpaceDE w:val="0"/>
        <w:autoSpaceDN w:val="0"/>
        <w:spacing w:before="60"/>
        <w:ind w:left="227" w:right="3792" w:hanging="227"/>
        <w:rPr>
          <w:snapToGrid w:val="0"/>
          <w:kern w:val="22"/>
          <w:lang w:val="fr-FR"/>
        </w:rPr>
      </w:pPr>
      <w:r w:rsidRPr="00F64A01">
        <w:rPr>
          <w:rFonts w:asciiTheme="majorBidi" w:hAnsiTheme="majorBidi" w:cstheme="majorBidi"/>
          <w:snapToGrid w:val="0"/>
          <w:kern w:val="22"/>
          <w:lang w:val="fr-FR"/>
        </w:rPr>
        <w:t xml:space="preserve">CONFÉRENCE DES PARTIES À LA CONVENTION SUR LA DIVERSITÉ BIOLOGIQUE SIÉGEANT EN TANT QUE RÉUNION DES PARTIES AU PROTOCOLE DE </w:t>
      </w:r>
      <w:r w:rsidR="0083009D" w:rsidRPr="00F64A01">
        <w:rPr>
          <w:snapToGrid w:val="0"/>
          <w:kern w:val="22"/>
          <w:lang w:val="fr-FR"/>
        </w:rPr>
        <w:t xml:space="preserve">NAGOYA </w:t>
      </w:r>
      <w:r w:rsidRPr="00F64A01">
        <w:rPr>
          <w:snapToGrid w:val="0"/>
          <w:kern w:val="22"/>
          <w:lang w:val="fr-FR"/>
        </w:rPr>
        <w:t>SUR L’ACC</w:t>
      </w:r>
      <w:r>
        <w:rPr>
          <w:snapToGrid w:val="0"/>
          <w:kern w:val="22"/>
          <w:lang w:val="fr-FR"/>
        </w:rPr>
        <w:t>È</w:t>
      </w:r>
      <w:r w:rsidRPr="00F64A01">
        <w:rPr>
          <w:snapToGrid w:val="0"/>
          <w:kern w:val="22"/>
          <w:lang w:val="fr-FR"/>
        </w:rPr>
        <w:t xml:space="preserve">S </w:t>
      </w:r>
      <w:r>
        <w:rPr>
          <w:snapToGrid w:val="0"/>
          <w:kern w:val="22"/>
          <w:lang w:val="fr-FR"/>
        </w:rPr>
        <w:t>AUX RESSOURCES GÉNÉTIQUES ET LE PARTAGE JUSTE ET ÉQUITABLE DES AVANTAGES DÉCOULANT DE LEUR UTILISATION</w:t>
      </w:r>
    </w:p>
    <w:p w14:paraId="141C6194" w14:textId="31CAE896" w:rsidR="003B7BB2" w:rsidRPr="00F64A01" w:rsidRDefault="003F5B88" w:rsidP="00BA33A0">
      <w:pPr>
        <w:pStyle w:val="Cornernotation"/>
        <w:kinsoku w:val="0"/>
        <w:overflowPunct w:val="0"/>
        <w:autoSpaceDE w:val="0"/>
        <w:autoSpaceDN w:val="0"/>
        <w:ind w:left="0" w:right="3792" w:firstLine="0"/>
        <w:rPr>
          <w:snapToGrid w:val="0"/>
          <w:kern w:val="22"/>
          <w:lang w:val="fr-FR"/>
        </w:rPr>
      </w:pPr>
      <w:r>
        <w:rPr>
          <w:snapToGrid w:val="0"/>
          <w:kern w:val="22"/>
          <w:lang w:val="fr-FR"/>
        </w:rPr>
        <w:t>Quatrième réunion</w:t>
      </w:r>
      <w:r w:rsidR="00AD7FFC" w:rsidRPr="00F64A01">
        <w:rPr>
          <w:snapToGrid w:val="0"/>
          <w:kern w:val="22"/>
          <w:lang w:val="fr-FR"/>
        </w:rPr>
        <w:t xml:space="preserve"> </w:t>
      </w:r>
      <w:r w:rsidR="00B26ACD" w:rsidRPr="00F64A01">
        <w:rPr>
          <w:snapToGrid w:val="0"/>
          <w:kern w:val="22"/>
          <w:lang w:val="fr-FR"/>
        </w:rPr>
        <w:t>– Part</w:t>
      </w:r>
      <w:r>
        <w:rPr>
          <w:snapToGrid w:val="0"/>
          <w:kern w:val="22"/>
          <w:lang w:val="fr-FR"/>
        </w:rPr>
        <w:t>ie</w:t>
      </w:r>
      <w:r w:rsidR="00B26ACD" w:rsidRPr="00F64A01">
        <w:rPr>
          <w:snapToGrid w:val="0"/>
          <w:kern w:val="22"/>
          <w:lang w:val="fr-FR"/>
        </w:rPr>
        <w:t xml:space="preserve"> II</w:t>
      </w:r>
    </w:p>
    <w:p w14:paraId="333B97D6" w14:textId="77777777" w:rsidR="003F5B88" w:rsidRPr="00ED0AA7" w:rsidRDefault="003F5B88" w:rsidP="003F5B88">
      <w:pPr>
        <w:pStyle w:val="Cornernotation"/>
        <w:kinsoku w:val="0"/>
        <w:overflowPunct w:val="0"/>
        <w:autoSpaceDE w:val="0"/>
        <w:autoSpaceDN w:val="0"/>
        <w:ind w:left="227" w:right="4075" w:hanging="227"/>
        <w:rPr>
          <w:snapToGrid w:val="0"/>
          <w:kern w:val="22"/>
          <w:szCs w:val="22"/>
          <w:lang w:val="fr-CA" w:eastAsia="nb-NO"/>
        </w:rPr>
      </w:pPr>
      <w:r w:rsidRPr="00ED0AA7">
        <w:rPr>
          <w:snapToGrid w:val="0"/>
          <w:kern w:val="22"/>
          <w:szCs w:val="22"/>
          <w:lang w:val="fr-CA" w:eastAsia="nb-NO"/>
        </w:rPr>
        <w:t>Montréal (Canada), 7-19</w:t>
      </w:r>
      <w:r>
        <w:rPr>
          <w:snapToGrid w:val="0"/>
          <w:kern w:val="22"/>
          <w:szCs w:val="22"/>
          <w:lang w:val="fr-CA" w:eastAsia="nb-NO"/>
        </w:rPr>
        <w:t> décembre</w:t>
      </w:r>
      <w:r w:rsidRPr="00ED0AA7">
        <w:rPr>
          <w:snapToGrid w:val="0"/>
          <w:kern w:val="22"/>
          <w:szCs w:val="22"/>
          <w:lang w:val="fr-CA" w:eastAsia="nb-NO"/>
        </w:rPr>
        <w:t xml:space="preserve"> 2022</w:t>
      </w:r>
    </w:p>
    <w:p w14:paraId="5ECF7635" w14:textId="0B4F453A" w:rsidR="00C9161D" w:rsidRPr="00F64A01" w:rsidRDefault="003F5B88" w:rsidP="00BA33A0">
      <w:pPr>
        <w:ind w:right="3792"/>
        <w:rPr>
          <w:lang w:val="fr-FR"/>
        </w:rPr>
      </w:pPr>
      <w:r>
        <w:rPr>
          <w:snapToGrid w:val="0"/>
          <w:kern w:val="22"/>
          <w:szCs w:val="22"/>
          <w:lang w:val="fr-FR"/>
        </w:rPr>
        <w:t xml:space="preserve">Point </w:t>
      </w:r>
      <w:r w:rsidR="003E5E15" w:rsidRPr="00F64A01">
        <w:rPr>
          <w:snapToGrid w:val="0"/>
          <w:kern w:val="22"/>
          <w:szCs w:val="22"/>
          <w:lang w:val="fr-FR"/>
        </w:rPr>
        <w:t>16</w:t>
      </w:r>
      <w:r w:rsidR="00134846" w:rsidRPr="00F64A01">
        <w:rPr>
          <w:snapToGrid w:val="0"/>
          <w:kern w:val="22"/>
          <w:szCs w:val="22"/>
          <w:lang w:val="fr-FR"/>
        </w:rPr>
        <w:t xml:space="preserve"> </w:t>
      </w:r>
      <w:r>
        <w:rPr>
          <w:snapToGrid w:val="0"/>
          <w:kern w:val="22"/>
          <w:szCs w:val="22"/>
          <w:lang w:val="fr-FR"/>
        </w:rPr>
        <w:t>de l’ordre du jour</w:t>
      </w:r>
    </w:p>
    <w:p w14:paraId="57F6B7A1" w14:textId="6280C586" w:rsidR="00C9161D" w:rsidRPr="00F64A01" w:rsidRDefault="00000000" w:rsidP="00172AF6">
      <w:pPr>
        <w:spacing w:before="120" w:after="240"/>
        <w:jc w:val="center"/>
        <w:rPr>
          <w:b/>
          <w:caps/>
          <w:lang w:val="fr-FR"/>
        </w:rPr>
      </w:pPr>
      <w:sdt>
        <w:sdtPr>
          <w:rPr>
            <w:rFonts w:ascii="Times New Roman Bold" w:hAnsi="Times New Roman Bold"/>
            <w:kern w:val="22"/>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995703">
            <w:rPr>
              <w:rFonts w:ascii="Times New Roman Bold" w:hAnsi="Times New Roman Bold"/>
              <w:kern w:val="22"/>
              <w:szCs w:val="22"/>
              <w:lang w:val="fr-FR"/>
            </w:rPr>
            <w:t>Mécanisme multilatéral mondial de partage des avantages</w:t>
          </w:r>
          <w:r w:rsidR="00B66B48" w:rsidRPr="00F64A01">
            <w:rPr>
              <w:rFonts w:ascii="Times New Roman Bold" w:hAnsi="Times New Roman Bold"/>
              <w:kern w:val="22"/>
              <w:szCs w:val="22"/>
              <w:lang w:val="fr-FR"/>
            </w:rPr>
            <w:t xml:space="preserve"> (</w:t>
          </w:r>
          <w:r w:rsidR="00995703">
            <w:rPr>
              <w:rFonts w:ascii="Times New Roman Bold" w:hAnsi="Times New Roman Bold"/>
              <w:kern w:val="22"/>
              <w:szCs w:val="22"/>
              <w:lang w:val="fr-FR"/>
            </w:rPr>
            <w:t>a</w:t>
          </w:r>
          <w:r w:rsidR="00B66B48" w:rsidRPr="00F64A01">
            <w:rPr>
              <w:rFonts w:ascii="Times New Roman Bold" w:hAnsi="Times New Roman Bold"/>
              <w:kern w:val="22"/>
              <w:szCs w:val="22"/>
              <w:lang w:val="fr-FR"/>
            </w:rPr>
            <w:t>rticle 10)</w:t>
          </w:r>
        </w:sdtContent>
      </w:sdt>
      <w:r w:rsidR="00105372" w:rsidRPr="00F64A01">
        <w:rPr>
          <w:b/>
          <w:caps/>
          <w:lang w:val="fr-FR"/>
        </w:rPr>
        <w:t xml:space="preserve"> </w:t>
      </w:r>
    </w:p>
    <w:p w14:paraId="2EEF764E" w14:textId="2BA46D69" w:rsidR="00F6586C" w:rsidRPr="00F64A01" w:rsidRDefault="00594BB1" w:rsidP="00A1252A">
      <w:pPr>
        <w:pStyle w:val="Style1"/>
        <w:outlineLvl w:val="9"/>
        <w:rPr>
          <w:bCs w:val="0"/>
          <w:i w:val="0"/>
          <w:iCs w:val="0"/>
          <w:lang w:val="fr-FR"/>
        </w:rPr>
      </w:pPr>
      <w:r>
        <w:rPr>
          <w:bCs w:val="0"/>
          <w:i w:val="0"/>
          <w:iCs w:val="0"/>
          <w:lang w:val="fr-FR"/>
        </w:rPr>
        <w:t>Projet de décision soumis par le président du Groupe de travail II</w:t>
      </w:r>
    </w:p>
    <w:p w14:paraId="5E88E5CF" w14:textId="3E371E5D" w:rsidR="00AB2545" w:rsidRPr="00F64A01" w:rsidRDefault="00FB2ECA" w:rsidP="00AB2545">
      <w:pPr>
        <w:spacing w:before="120" w:after="120"/>
        <w:ind w:firstLine="720"/>
        <w:rPr>
          <w:rFonts w:eastAsia="Malgun Gothic"/>
          <w:i/>
          <w:color w:val="000000" w:themeColor="text1"/>
          <w:kern w:val="20"/>
          <w:lang w:val="fr-FR"/>
        </w:rPr>
      </w:pPr>
      <w:r>
        <w:rPr>
          <w:rFonts w:eastAsia="Malgun Gothic"/>
          <w:i/>
          <w:color w:val="000000" w:themeColor="text1"/>
          <w:kern w:val="20"/>
          <w:lang w:val="fr-FR"/>
        </w:rPr>
        <w:t>La Conférence des Parties siégeant en tant que réunion des Parties au Protocole de Nagoya</w:t>
      </w:r>
    </w:p>
    <w:p w14:paraId="529056C8" w14:textId="731481BD" w:rsidR="00B706D7" w:rsidRPr="00F64A01" w:rsidRDefault="00FB2ECA" w:rsidP="00F44773">
      <w:pPr>
        <w:suppressLineNumbers/>
        <w:suppressAutoHyphens/>
        <w:kinsoku w:val="0"/>
        <w:overflowPunct w:val="0"/>
        <w:autoSpaceDE w:val="0"/>
        <w:autoSpaceDN w:val="0"/>
        <w:adjustRightInd w:val="0"/>
        <w:snapToGrid w:val="0"/>
        <w:spacing w:before="120" w:after="120"/>
        <w:ind w:firstLine="709"/>
        <w:rPr>
          <w:szCs w:val="22"/>
          <w:lang w:val="fr-FR"/>
        </w:rPr>
      </w:pPr>
      <w:r>
        <w:rPr>
          <w:i/>
          <w:iCs/>
          <w:lang w:val="fr-FR"/>
        </w:rPr>
        <w:t>Décide</w:t>
      </w:r>
      <w:r w:rsidR="00B706D7" w:rsidRPr="00F64A01">
        <w:rPr>
          <w:i/>
          <w:iCs/>
          <w:lang w:val="fr-FR"/>
        </w:rPr>
        <w:t xml:space="preserve"> </w:t>
      </w:r>
      <w:r w:rsidR="00C615FD">
        <w:rPr>
          <w:lang w:val="fr-FR"/>
        </w:rPr>
        <w:t>de revenir sur la question de la nécessité et des modalités d’un mécanisme multilatéral mondial de partage des avantages, tel que prévu dans l’article 10 du Protocole de Nagoya</w:t>
      </w:r>
      <w:r w:rsidR="008A78B9">
        <w:rPr>
          <w:lang w:val="fr-FR"/>
        </w:rPr>
        <w:t>,</w:t>
      </w:r>
      <w:r w:rsidR="00C615FD">
        <w:rPr>
          <w:lang w:val="fr-FR"/>
        </w:rPr>
        <w:t xml:space="preserve"> à sa cinquième réunion</w:t>
      </w:r>
      <w:r w:rsidR="00B706D7" w:rsidRPr="00F64A01">
        <w:rPr>
          <w:szCs w:val="22"/>
          <w:lang w:val="fr-FR"/>
        </w:rPr>
        <w:t>.</w:t>
      </w:r>
      <w:r w:rsidR="00107843">
        <w:rPr>
          <w:szCs w:val="22"/>
          <w:lang w:val="fr-FR"/>
        </w:rPr>
        <w:t xml:space="preserve"> </w:t>
      </w:r>
    </w:p>
    <w:p w14:paraId="3093D971" w14:textId="7FCFDA65" w:rsidR="00B3369F" w:rsidRPr="00F64A01" w:rsidRDefault="00B21762" w:rsidP="00B21762">
      <w:pPr>
        <w:jc w:val="center"/>
        <w:rPr>
          <w:lang w:val="fr-FR"/>
        </w:rPr>
      </w:pPr>
      <w:r w:rsidRPr="00F64A01">
        <w:rPr>
          <w:lang w:val="fr-FR"/>
        </w:rPr>
        <w:t>__________</w:t>
      </w:r>
    </w:p>
    <w:sectPr w:rsidR="00B3369F" w:rsidRPr="00F64A01" w:rsidSect="00B21762">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06E31" w14:textId="77777777" w:rsidR="00F95368" w:rsidRDefault="00F95368" w:rsidP="00CF1848">
      <w:r>
        <w:separator/>
      </w:r>
    </w:p>
  </w:endnote>
  <w:endnote w:type="continuationSeparator" w:id="0">
    <w:p w14:paraId="45BDED6C" w14:textId="77777777" w:rsidR="00F95368" w:rsidRDefault="00F9536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71683" w14:textId="77777777" w:rsidR="00F95368" w:rsidRDefault="00F95368" w:rsidP="00CF1848">
      <w:r>
        <w:separator/>
      </w:r>
    </w:p>
  </w:footnote>
  <w:footnote w:type="continuationSeparator" w:id="0">
    <w:p w14:paraId="6AC47269" w14:textId="77777777" w:rsidR="00F95368" w:rsidRDefault="00F95368"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11F36E94" w:rsidR="00534681" w:rsidRPr="00134846" w:rsidRDefault="00F44773" w:rsidP="00534681">
        <w:pPr>
          <w:pStyle w:val="En-tte"/>
          <w:rPr>
            <w:lang w:val="fr-FR"/>
          </w:rPr>
        </w:pPr>
        <w:r>
          <w:rPr>
            <w:lang w:val="fr-FR"/>
          </w:rPr>
          <w:t>CBD/NP/MOP/4/L.10</w:t>
        </w:r>
      </w:p>
    </w:sdtContent>
  </w:sdt>
  <w:p w14:paraId="1E0FDE0B" w14:textId="77777777" w:rsidR="00534681" w:rsidRPr="00134846" w:rsidRDefault="00534681" w:rsidP="00534681">
    <w:pPr>
      <w:pStyle w:val="En-tte"/>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078D6B0B" w:rsidR="009505C9" w:rsidRPr="00134846" w:rsidRDefault="00F44773" w:rsidP="009505C9">
        <w:pPr>
          <w:pStyle w:val="En-tte"/>
          <w:jc w:val="right"/>
          <w:rPr>
            <w:lang w:val="fr-FR"/>
          </w:rPr>
        </w:pPr>
        <w:r>
          <w:rPr>
            <w:lang w:val="fr-FR"/>
          </w:rPr>
          <w:t>CBD/NP/MOP/4/L.10</w:t>
        </w:r>
      </w:p>
    </w:sdtContent>
  </w:sdt>
  <w:p w14:paraId="64AE8439" w14:textId="77777777" w:rsidR="009505C9" w:rsidRPr="00134846" w:rsidRDefault="009505C9" w:rsidP="009505C9">
    <w:pPr>
      <w:pStyle w:val="En-tte"/>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3673061">
    <w:abstractNumId w:val="3"/>
  </w:num>
  <w:num w:numId="2" w16cid:durableId="2111393616">
    <w:abstractNumId w:val="6"/>
  </w:num>
  <w:num w:numId="3" w16cid:durableId="415980663">
    <w:abstractNumId w:val="4"/>
  </w:num>
  <w:num w:numId="4" w16cid:durableId="258103355">
    <w:abstractNumId w:val="6"/>
  </w:num>
  <w:num w:numId="5" w16cid:durableId="2005277856">
    <w:abstractNumId w:val="5"/>
  </w:num>
  <w:num w:numId="6" w16cid:durableId="1451556988">
    <w:abstractNumId w:val="0"/>
  </w:num>
  <w:num w:numId="7" w16cid:durableId="2114670046">
    <w:abstractNumId w:val="2"/>
  </w:num>
  <w:num w:numId="8" w16cid:durableId="2119788075">
    <w:abstractNumId w:val="4"/>
    <w:lvlOverride w:ilvl="0">
      <w:startOverride w:val="1"/>
    </w:lvlOverride>
  </w:num>
  <w:num w:numId="9" w16cid:durableId="690882967">
    <w:abstractNumId w:val="9"/>
  </w:num>
  <w:num w:numId="10" w16cid:durableId="495419013">
    <w:abstractNumId w:val="4"/>
    <w:lvlOverride w:ilvl="0">
      <w:startOverride w:val="1"/>
    </w:lvlOverride>
  </w:num>
  <w:num w:numId="11" w16cid:durableId="302008897">
    <w:abstractNumId w:val="4"/>
    <w:lvlOverride w:ilvl="0">
      <w:startOverride w:val="1"/>
    </w:lvlOverride>
  </w:num>
  <w:num w:numId="12" w16cid:durableId="2127188011">
    <w:abstractNumId w:val="4"/>
    <w:lvlOverride w:ilvl="0">
      <w:startOverride w:val="1"/>
    </w:lvlOverride>
  </w:num>
  <w:num w:numId="13" w16cid:durableId="1062412544">
    <w:abstractNumId w:val="4"/>
    <w:lvlOverride w:ilvl="0">
      <w:startOverride w:val="1"/>
    </w:lvlOverride>
  </w:num>
  <w:num w:numId="14" w16cid:durableId="206110789">
    <w:abstractNumId w:val="8"/>
  </w:num>
  <w:num w:numId="15" w16cid:durableId="2011712907">
    <w:abstractNumId w:val="7"/>
  </w:num>
  <w:num w:numId="16" w16cid:durableId="1908610927">
    <w:abstractNumId w:val="1"/>
  </w:num>
  <w:num w:numId="17" w16cid:durableId="1495488807">
    <w:abstractNumId w:val="10"/>
  </w:num>
  <w:num w:numId="18" w16cid:durableId="1640265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17F"/>
    <w:rsid w:val="000170B2"/>
    <w:rsid w:val="00020A25"/>
    <w:rsid w:val="0007171B"/>
    <w:rsid w:val="000A5F38"/>
    <w:rsid w:val="000C64C2"/>
    <w:rsid w:val="000E673A"/>
    <w:rsid w:val="000F74F5"/>
    <w:rsid w:val="00105372"/>
    <w:rsid w:val="00107843"/>
    <w:rsid w:val="001078CB"/>
    <w:rsid w:val="00115B72"/>
    <w:rsid w:val="001226B6"/>
    <w:rsid w:val="001312AD"/>
    <w:rsid w:val="00131E7A"/>
    <w:rsid w:val="00134846"/>
    <w:rsid w:val="00145568"/>
    <w:rsid w:val="00172AF6"/>
    <w:rsid w:val="00176CEE"/>
    <w:rsid w:val="00186DD8"/>
    <w:rsid w:val="001B13FE"/>
    <w:rsid w:val="001E38DB"/>
    <w:rsid w:val="002405B6"/>
    <w:rsid w:val="00274635"/>
    <w:rsid w:val="0030169D"/>
    <w:rsid w:val="00301DC0"/>
    <w:rsid w:val="003060EB"/>
    <w:rsid w:val="003153EB"/>
    <w:rsid w:val="003218A8"/>
    <w:rsid w:val="00321985"/>
    <w:rsid w:val="00351205"/>
    <w:rsid w:val="003626E1"/>
    <w:rsid w:val="00372F74"/>
    <w:rsid w:val="00375570"/>
    <w:rsid w:val="003811E7"/>
    <w:rsid w:val="00386DD9"/>
    <w:rsid w:val="003B7BB2"/>
    <w:rsid w:val="003D39AF"/>
    <w:rsid w:val="003E5E15"/>
    <w:rsid w:val="003F5B88"/>
    <w:rsid w:val="003F7224"/>
    <w:rsid w:val="00427D21"/>
    <w:rsid w:val="004644C2"/>
    <w:rsid w:val="00467F9C"/>
    <w:rsid w:val="004A348A"/>
    <w:rsid w:val="004E1E26"/>
    <w:rsid w:val="00534681"/>
    <w:rsid w:val="00563442"/>
    <w:rsid w:val="00565B42"/>
    <w:rsid w:val="00594BB1"/>
    <w:rsid w:val="005B4ADC"/>
    <w:rsid w:val="005C4CE6"/>
    <w:rsid w:val="005E0ED3"/>
    <w:rsid w:val="005F0693"/>
    <w:rsid w:val="005F3029"/>
    <w:rsid w:val="00604A13"/>
    <w:rsid w:val="006103B4"/>
    <w:rsid w:val="006122BA"/>
    <w:rsid w:val="006B2290"/>
    <w:rsid w:val="00717D88"/>
    <w:rsid w:val="007462DB"/>
    <w:rsid w:val="00786056"/>
    <w:rsid w:val="007942D3"/>
    <w:rsid w:val="007B2099"/>
    <w:rsid w:val="007B6AE8"/>
    <w:rsid w:val="007B6C09"/>
    <w:rsid w:val="007B7741"/>
    <w:rsid w:val="007E09DA"/>
    <w:rsid w:val="007E0DA8"/>
    <w:rsid w:val="008178B6"/>
    <w:rsid w:val="0083009D"/>
    <w:rsid w:val="0083141D"/>
    <w:rsid w:val="008452EF"/>
    <w:rsid w:val="00865B74"/>
    <w:rsid w:val="00873822"/>
    <w:rsid w:val="008974F0"/>
    <w:rsid w:val="008A78B9"/>
    <w:rsid w:val="008B012A"/>
    <w:rsid w:val="008C0D67"/>
    <w:rsid w:val="00906E17"/>
    <w:rsid w:val="00930BA1"/>
    <w:rsid w:val="0093169E"/>
    <w:rsid w:val="00937130"/>
    <w:rsid w:val="009505C9"/>
    <w:rsid w:val="00950752"/>
    <w:rsid w:val="00966424"/>
    <w:rsid w:val="00995703"/>
    <w:rsid w:val="009C2DE6"/>
    <w:rsid w:val="00A1252A"/>
    <w:rsid w:val="00A83373"/>
    <w:rsid w:val="00AA40ED"/>
    <w:rsid w:val="00AA6F92"/>
    <w:rsid w:val="00AB2545"/>
    <w:rsid w:val="00AB6934"/>
    <w:rsid w:val="00AD7FFC"/>
    <w:rsid w:val="00AF42DE"/>
    <w:rsid w:val="00B21762"/>
    <w:rsid w:val="00B26ACD"/>
    <w:rsid w:val="00B3369F"/>
    <w:rsid w:val="00B66B48"/>
    <w:rsid w:val="00B706D7"/>
    <w:rsid w:val="00B94E6C"/>
    <w:rsid w:val="00BA33A0"/>
    <w:rsid w:val="00BB4606"/>
    <w:rsid w:val="00BC3306"/>
    <w:rsid w:val="00BE65A0"/>
    <w:rsid w:val="00BF11F9"/>
    <w:rsid w:val="00C13AD7"/>
    <w:rsid w:val="00C23D2F"/>
    <w:rsid w:val="00C443BD"/>
    <w:rsid w:val="00C451C5"/>
    <w:rsid w:val="00C615FD"/>
    <w:rsid w:val="00C9161D"/>
    <w:rsid w:val="00CA0C1D"/>
    <w:rsid w:val="00CF1848"/>
    <w:rsid w:val="00D12044"/>
    <w:rsid w:val="00D21AA7"/>
    <w:rsid w:val="00D30264"/>
    <w:rsid w:val="00D33EFC"/>
    <w:rsid w:val="00D40DBC"/>
    <w:rsid w:val="00D41EB3"/>
    <w:rsid w:val="00D43D23"/>
    <w:rsid w:val="00D76A18"/>
    <w:rsid w:val="00D80849"/>
    <w:rsid w:val="00D82E8F"/>
    <w:rsid w:val="00DD118C"/>
    <w:rsid w:val="00E66235"/>
    <w:rsid w:val="00E821A6"/>
    <w:rsid w:val="00E82E4B"/>
    <w:rsid w:val="00E83C24"/>
    <w:rsid w:val="00E92A96"/>
    <w:rsid w:val="00E9318D"/>
    <w:rsid w:val="00EC1F46"/>
    <w:rsid w:val="00F44773"/>
    <w:rsid w:val="00F53193"/>
    <w:rsid w:val="00F5357E"/>
    <w:rsid w:val="00F64A01"/>
    <w:rsid w:val="00F6586C"/>
    <w:rsid w:val="00F94774"/>
    <w:rsid w:val="00F95368"/>
    <w:rsid w:val="00FA0E9A"/>
    <w:rsid w:val="00FA663B"/>
    <w:rsid w:val="00FB2ECA"/>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AB2545"/>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A5322"/>
    <w:rsid w:val="003078E2"/>
    <w:rsid w:val="00342E47"/>
    <w:rsid w:val="0046422C"/>
    <w:rsid w:val="004760CF"/>
    <w:rsid w:val="00490FE1"/>
    <w:rsid w:val="004E092F"/>
    <w:rsid w:val="00500A2B"/>
    <w:rsid w:val="0058288D"/>
    <w:rsid w:val="00665C6B"/>
    <w:rsid w:val="006801B3"/>
    <w:rsid w:val="00810A55"/>
    <w:rsid w:val="008C6619"/>
    <w:rsid w:val="008D420E"/>
    <w:rsid w:val="0098642F"/>
    <w:rsid w:val="00B27D2C"/>
    <w:rsid w:val="00C04427"/>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0FB799F7-2340-4C7F-B132-079D47A38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136</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multilatéral mondial de partage des avantages (article 10)</dc:title>
  <dc:subject>CBD/NP/MOP/4/L.10</dc:subject>
  <dc:creator>SCBD</dc:creator>
  <cp:keywords>Conference of the Parties serving as the meeting of the Parties to the Nagoya Protocol on Access to Genetic Resources and the Fair and Equitable Sharing of Benefits Arising from Their Utilization</cp:keywords>
  <cp:lastModifiedBy>Lucas Magdalena</cp:lastModifiedBy>
  <cp:revision>31</cp:revision>
  <cp:lastPrinted>2022-12-17T02:29:00Z</cp:lastPrinted>
  <dcterms:created xsi:type="dcterms:W3CDTF">2022-12-17T13:13:00Z</dcterms:created>
  <dcterms:modified xsi:type="dcterms:W3CDTF">2022-12-17T13:30:00Z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